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EA" w:rsidRDefault="00AC53EA" w:rsidP="008A6480">
      <w:pPr>
        <w:pStyle w:val="a5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987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313723720"/>
      </w:sdtPr>
      <w:sdtEndPr/>
      <w:sdtContent>
        <w:p w:rsidR="00AC53EA" w:rsidRDefault="00AC53EA" w:rsidP="008A6480">
          <w:pPr>
            <w:pStyle w:val="a5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8A6480" w:rsidRPr="000844E1" w:rsidRDefault="008A6480" w:rsidP="008A6480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 w:rsidRPr="000844E1">
            <w:rPr>
              <w:rFonts w:ascii="Times New Roman" w:hAnsi="Times New Roman" w:cs="Times New Roman"/>
              <w:color w:val="auto"/>
            </w:rPr>
            <w:lastRenderedPageBreak/>
            <w:t>Оглавление</w:t>
          </w:r>
        </w:p>
        <w:p w:rsidR="008A6480" w:rsidRPr="000844E1" w:rsidRDefault="008A6480" w:rsidP="008A6480">
          <w:pPr>
            <w:rPr>
              <w:rFonts w:ascii="Times New Roman" w:hAnsi="Times New Roman" w:cs="Times New Roman"/>
              <w:lang w:eastAsia="ru-RU"/>
            </w:rPr>
          </w:pPr>
        </w:p>
        <w:p w:rsidR="00E45C15" w:rsidRPr="00E45C15" w:rsidRDefault="00FD1D7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844E1">
            <w:rPr>
              <w:rFonts w:ascii="Times New Roman" w:hAnsi="Times New Roman" w:cs="Times New Roman"/>
            </w:rPr>
            <w:fldChar w:fldCharType="begin"/>
          </w:r>
          <w:r w:rsidR="008A6480" w:rsidRPr="000844E1">
            <w:rPr>
              <w:rFonts w:ascii="Times New Roman" w:hAnsi="Times New Roman" w:cs="Times New Roman"/>
            </w:rPr>
            <w:instrText xml:space="preserve"> TOC \o "1-3" \h \z \u </w:instrText>
          </w:r>
          <w:r w:rsidRPr="000844E1">
            <w:rPr>
              <w:rFonts w:ascii="Times New Roman" w:hAnsi="Times New Roman" w:cs="Times New Roman"/>
            </w:rPr>
            <w:fldChar w:fldCharType="separate"/>
          </w:r>
          <w:hyperlink w:anchor="_Toc57976358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Паспорт программы энергосбережения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_Toc57976358 \h </w:instrText>
            </w:r>
            <w:r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00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59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_Toc57976359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0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 Комплексный анализ текущего состояния энергосбережения и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_Toc57976360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1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повышения энергетической эффективности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_Toc57976361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2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Раздел «Цели и задачи Программы»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_Toc57976362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3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Цели Программы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_Toc57976363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4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 Задачи Программы.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_Toc57976364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5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Сроки и этапы реализации Программы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_Toc57976365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6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 Целевые показатели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_Toc57976366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7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5. Мероприятия по энергосбережению и повышению энергетической эффективности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_Toc57976367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8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6. Экономия энергетических ресурсов в разрезе мероприятий программы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_Toc57976368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Pr="00E45C15" w:rsidRDefault="007C00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976369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7. Ожидаемые результаты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_Toc57976369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C15" w:rsidRDefault="007C009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7976370" w:history="1">
            <w:r w:rsidR="00E45C15" w:rsidRPr="00E45C1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8. Оценка эффективности использования средств</w:t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C15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_Toc57976370 \h </w:instrTex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D1D7B" w:rsidRPr="00E45C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6480" w:rsidRPr="000844E1" w:rsidRDefault="00FD1D7B" w:rsidP="008A6480">
          <w:pPr>
            <w:rPr>
              <w:rFonts w:ascii="Times New Roman" w:hAnsi="Times New Roman" w:cs="Times New Roman"/>
            </w:rPr>
          </w:pPr>
          <w:r w:rsidRPr="000844E1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31239C">
      <w:pPr>
        <w:pStyle w:val="1"/>
        <w:jc w:val="center"/>
        <w:rPr>
          <w:rFonts w:cs="Times New Roman"/>
        </w:rPr>
      </w:pPr>
    </w:p>
    <w:p w:rsidR="008A6480" w:rsidRPr="000844E1" w:rsidRDefault="008A6480" w:rsidP="0031239C">
      <w:pPr>
        <w:pStyle w:val="1"/>
        <w:jc w:val="center"/>
        <w:rPr>
          <w:rFonts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pStyle w:val="1"/>
        <w:jc w:val="center"/>
        <w:rPr>
          <w:rFonts w:cs="Times New Roman"/>
        </w:rPr>
      </w:pPr>
      <w:bookmarkStart w:id="0" w:name="_Toc57976358"/>
      <w:r w:rsidRPr="000844E1">
        <w:rPr>
          <w:rFonts w:cs="Times New Roman"/>
        </w:rPr>
        <w:lastRenderedPageBreak/>
        <w:t>Паспорт программы энергосбережения</w:t>
      </w:r>
      <w:bookmarkEnd w:id="0"/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31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8A6480" w:rsidRPr="000844E1" w:rsidRDefault="00420B45" w:rsidP="0042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45">
              <w:rPr>
                <w:rFonts w:ascii="Times New Roman" w:hAnsi="Times New Roman" w:cs="Times New Roman"/>
                <w:sz w:val="24"/>
                <w:szCs w:val="24"/>
              </w:rPr>
              <w:t>Программа в области энергосбережения и повышения энергетичес</w:t>
            </w:r>
            <w:r w:rsidR="00C34B0D">
              <w:rPr>
                <w:rFonts w:ascii="Times New Roman" w:hAnsi="Times New Roman" w:cs="Times New Roman"/>
                <w:sz w:val="24"/>
                <w:szCs w:val="24"/>
              </w:rPr>
              <w:t>кой эффективности на период 2024 - 2026</w:t>
            </w:r>
            <w:r w:rsidRPr="00420B4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proofErr w:type="gramStart"/>
            <w:r w:rsidRPr="00420B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20B45">
              <w:rPr>
                <w:rFonts w:ascii="Times New Roman" w:hAnsi="Times New Roman" w:cs="Times New Roman"/>
                <w:sz w:val="24"/>
                <w:szCs w:val="24"/>
              </w:rPr>
              <w:t>униципальное образовательное учреждение дополнительного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Дом детского творчества </w:t>
            </w:r>
            <w:r w:rsidRPr="00420B45">
              <w:rPr>
                <w:rFonts w:ascii="Times New Roman" w:hAnsi="Times New Roman" w:cs="Times New Roman"/>
                <w:sz w:val="24"/>
                <w:szCs w:val="24"/>
              </w:rPr>
              <w:t>г. Мышкин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486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№ 261-ФЗ от 23.11.2009 г. «Об энергосбережении и о повышении энергетической эффективности и о внесении изменений в отдельные законодательные акты РФ»;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31.12.2009г. № 1221 «Об утверждении правил установления требований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 товаров, услуг, работ, размещения заказов для муниципальных нужд»;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РФ от 17.02.2010г. № 61 «Об утверждении примерного перечня мероприятийв области энергосбережения и повышения энергетической эффективности»;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Российской Федерации от 30 июня 2014 г. №398 «Об утверждении требований к форме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 в области энергосбережения и повышения энергетической эффективности организаций с участием государства имуниципального образования, организаций, осуществляющих регулируемые виды деятельности, и отчетности о ходе ихреализации»;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Российской Федерации от 30 июня 2014 г. №399 «Об утверждении методики расчета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целевых показателей в области энергосбережения и повышения энергетической эффективности, в том числе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A6480" w:rsidRDefault="004E7B22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036E" w:rsidRPr="000844E1" w:rsidRDefault="00D3036E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  <w:r w:rsidR="00A4164C">
              <w:rPr>
                <w:rFonts w:ascii="Times New Roman" w:hAnsi="Times New Roman" w:cs="Times New Roman"/>
                <w:sz w:val="24"/>
                <w:szCs w:val="24"/>
              </w:rPr>
              <w:t xml:space="preserve"> №1289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07.10.2019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 объема потребляемой ими воды»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Цель Программы и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8A6480" w:rsidRPr="000844E1" w:rsidRDefault="004E7B22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потребления энергетических ресурсов в </w:t>
            </w:r>
            <w:r w:rsidR="00A73AC6" w:rsidRPr="000844E1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образовательном учреждении дополнительного образования Доме детского творчества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</w:t>
            </w:r>
            <w:r w:rsidR="00C34B0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>предусматривающих достижение наиболее высоких целевых показателей энергосбережения и снижение финансовойнагрузки на бюджет за счет сокращения платежей за потребление воды, тепло- и электроэнергию.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1. Повышение энергетической эффективности использования энергоресурсов в организации,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2. Снижение затрат на энергоресурсы;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Снижение затрат на оплату энергоресурсов;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4.  Снижение в сопоставимых условиях объема потреб</w:t>
            </w:r>
            <w:r w:rsidR="00C80E23" w:rsidRPr="000844E1">
              <w:rPr>
                <w:rFonts w:ascii="Times New Roman" w:hAnsi="Times New Roman" w:cs="Times New Roman"/>
                <w:sz w:val="24"/>
                <w:szCs w:val="24"/>
              </w:rPr>
              <w:t>ленных учреждением воды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, тепловой энергии, электрическойэнергии;</w:t>
            </w:r>
          </w:p>
          <w:p w:rsidR="008A6480" w:rsidRPr="000844E1" w:rsidRDefault="008A6480" w:rsidP="00C8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5. Реализация организационных мероприятий по энергосбережению и повышению энергетической эффективности;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целевых показателей в области энергосбережения и повышения </w:t>
            </w:r>
            <w:proofErr w:type="spell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энергоэффективностина</w:t>
            </w:r>
            <w:proofErr w:type="spellEnd"/>
          </w:p>
          <w:p w:rsidR="008A6480" w:rsidRPr="000844E1" w:rsidRDefault="00C34B0D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исполнение мероприятий в области энергосбережения и повышения </w:t>
            </w:r>
            <w:proofErr w:type="spell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 w:rsidR="00C34B0D">
              <w:rPr>
                <w:rFonts w:ascii="Times New Roman" w:hAnsi="Times New Roman" w:cs="Times New Roman"/>
                <w:sz w:val="24"/>
                <w:szCs w:val="24"/>
              </w:rPr>
              <w:t>ергоэффективности</w:t>
            </w:r>
            <w:proofErr w:type="spellEnd"/>
            <w:r w:rsidR="00C34B0D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2024-2026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Создание системы управления реализацией проектов и осуществления мероприятий по энергосбережению и повышениюэнергетической эффективности.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энергосберегающих мероприятий для всех участников образовательного процесса.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в области энергосбережения и повышени</w:t>
            </w:r>
            <w:r w:rsidR="00F5196C">
              <w:rPr>
                <w:rFonts w:ascii="Times New Roman" w:hAnsi="Times New Roman" w:cs="Times New Roman"/>
                <w:sz w:val="24"/>
                <w:szCs w:val="24"/>
              </w:rPr>
              <w:t>я энергетической эффективности.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Снижение удельных величин потребления Учреждение</w:t>
            </w:r>
            <w:r w:rsidR="00C80E23" w:rsidRPr="000844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топливно-энергетических ресурсов (электроэнергии, тепловой</w:t>
            </w:r>
            <w:r w:rsidR="00C80E23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энергии 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холодной воды) при сохранении устойчивости функционирования Учреждение, обеспечении соблюдениясанитарно-гигиенических требований к организации образовательного процесса;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Снижение величины вложения финансовых средств на оплату потребления топливно-энергетических ресурсов (уменьшениеколичества постоянных издержек).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Снижение финансовой нагрузки на бюджет.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Сокращение потерь топливно-энергетических ресурсов.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 обеспечения в области энергосбережения и повышения энергетической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эффективности.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Создание системы повышения квалификации, компетенции и стимулирования исполнителей в области энергосбережения иповышения энергетической эффективности;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пропаганды энергосбережения и повышения энергетической эффективности.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4E7B22" w:rsidRPr="004E7B22" w:rsidRDefault="004E7B22" w:rsidP="004E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22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мероприятий программы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предусмотреть на период 202</w:t>
            </w:r>
            <w:r w:rsidR="00C34B0D">
              <w:rPr>
                <w:rFonts w:ascii="Times New Roman" w:hAnsi="Times New Roman" w:cs="Times New Roman"/>
                <w:sz w:val="24"/>
                <w:szCs w:val="24"/>
              </w:rPr>
              <w:t>4-2026</w:t>
            </w:r>
            <w:r w:rsidR="00002C7D">
              <w:rPr>
                <w:rFonts w:ascii="Times New Roman" w:hAnsi="Times New Roman" w:cs="Times New Roman"/>
                <w:sz w:val="24"/>
                <w:szCs w:val="24"/>
              </w:rPr>
              <w:t xml:space="preserve"> годы 0</w:t>
            </w:r>
            <w:r w:rsidRPr="004E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C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02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B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7B22">
              <w:rPr>
                <w:rFonts w:ascii="Times New Roman" w:hAnsi="Times New Roman" w:cs="Times New Roman"/>
                <w:sz w:val="24"/>
                <w:szCs w:val="24"/>
              </w:rPr>
              <w:t>уб. Источники финансирования:</w:t>
            </w:r>
          </w:p>
          <w:p w:rsidR="004E7B22" w:rsidRPr="004E7B22" w:rsidRDefault="004E7B22" w:rsidP="004E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22">
              <w:rPr>
                <w:rFonts w:ascii="Times New Roman" w:hAnsi="Times New Roman" w:cs="Times New Roman"/>
                <w:sz w:val="24"/>
                <w:szCs w:val="24"/>
              </w:rPr>
              <w:t>- собственные (внебюджетные) средства 0 тыс. руб.</w:t>
            </w:r>
          </w:p>
          <w:p w:rsidR="004E7B22" w:rsidRPr="004E7B22" w:rsidRDefault="004E7B22" w:rsidP="004E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22">
              <w:rPr>
                <w:rFonts w:ascii="Times New Roman" w:hAnsi="Times New Roman" w:cs="Times New Roman"/>
                <w:sz w:val="24"/>
                <w:szCs w:val="24"/>
              </w:rPr>
              <w:t>- средс</w:t>
            </w:r>
            <w:r w:rsidR="00002C7D">
              <w:rPr>
                <w:rFonts w:ascii="Times New Roman" w:hAnsi="Times New Roman" w:cs="Times New Roman"/>
                <w:sz w:val="24"/>
                <w:szCs w:val="24"/>
              </w:rPr>
              <w:t>тва муниципального бюджета 0</w:t>
            </w:r>
            <w:r w:rsidRPr="004E7B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A6480" w:rsidRPr="000844E1" w:rsidRDefault="004E7B22" w:rsidP="004E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22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или федерального бюджета 0 тыс. руб.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энергетической,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экономической и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Энергетическая эффективность реализации Программы составит: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- тепловой энергии в размере не менее </w:t>
            </w:r>
            <w:r w:rsidR="00002C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C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E7B2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="004E7B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- электрической энергии в размере не менее – </w:t>
            </w:r>
            <w:r w:rsidR="00002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- воды в размере не менее – </w:t>
            </w:r>
            <w:r w:rsidR="00002C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</w:t>
            </w:r>
            <w:r w:rsidR="004E7B22">
              <w:rPr>
                <w:rFonts w:ascii="Times New Roman" w:hAnsi="Times New Roman" w:cs="Times New Roman"/>
                <w:sz w:val="24"/>
                <w:szCs w:val="24"/>
              </w:rPr>
              <w:t xml:space="preserve">ь реализации Программы </w:t>
            </w:r>
            <w:r w:rsidR="005C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0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эффективность:</w:t>
            </w:r>
          </w:p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- формирование энергосберегающего типа мышления у сотрудников Учреждения;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- эффективное использование энергетических ресурсов в Учреждении.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486" w:type="dxa"/>
          </w:tcPr>
          <w:p w:rsidR="008A6480" w:rsidRPr="000844E1" w:rsidRDefault="00C80E23" w:rsidP="00C8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4B0D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Программы: 2024-2026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8A6480" w:rsidRPr="000844E1" w:rsidRDefault="00C34B0D" w:rsidP="00A7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Юлия Николаевна, </w:t>
            </w:r>
            <w:r w:rsidR="00A73AC6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муниципального образовательного  учреждения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Дом</w:t>
            </w:r>
            <w:r w:rsidR="00A73AC6" w:rsidRPr="000844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6480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г. Мышкин</w:t>
            </w:r>
          </w:p>
        </w:tc>
      </w:tr>
      <w:tr w:rsidR="008A6480" w:rsidRPr="000844E1" w:rsidTr="008A6480">
        <w:tc>
          <w:tcPr>
            <w:tcW w:w="3085" w:type="dxa"/>
          </w:tcPr>
          <w:p w:rsidR="008A6480" w:rsidRPr="000844E1" w:rsidRDefault="008A6480" w:rsidP="008A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8A6480" w:rsidRPr="000844E1" w:rsidRDefault="008A6480" w:rsidP="008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 учреждение дополнительного образования Дом детского творчества г. Мышкин</w:t>
            </w:r>
          </w:p>
        </w:tc>
      </w:tr>
      <w:tr w:rsidR="008A6480" w:rsidRPr="000844E1" w:rsidTr="008A6480">
        <w:tc>
          <w:tcPr>
            <w:tcW w:w="3085" w:type="dxa"/>
          </w:tcPr>
          <w:p w:rsidR="004108C3" w:rsidRPr="000844E1" w:rsidRDefault="004108C3" w:rsidP="0041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A6480" w:rsidRPr="000844E1" w:rsidRDefault="004108C3" w:rsidP="0041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реализацией Программ</w:t>
            </w:r>
          </w:p>
        </w:tc>
        <w:tc>
          <w:tcPr>
            <w:tcW w:w="6486" w:type="dxa"/>
          </w:tcPr>
          <w:p w:rsidR="008A6480" w:rsidRPr="000844E1" w:rsidRDefault="004108C3" w:rsidP="0041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Голубева Татьяна Владимировна</w:t>
            </w:r>
          </w:p>
        </w:tc>
      </w:tr>
    </w:tbl>
    <w:p w:rsidR="008A6480" w:rsidRPr="000844E1" w:rsidRDefault="008A6480" w:rsidP="0031239C">
      <w:pPr>
        <w:pStyle w:val="1"/>
        <w:jc w:val="center"/>
        <w:rPr>
          <w:rFonts w:cs="Times New Roman"/>
        </w:rPr>
      </w:pPr>
    </w:p>
    <w:p w:rsidR="008A6480" w:rsidRPr="000844E1" w:rsidRDefault="008A6480" w:rsidP="0031239C">
      <w:pPr>
        <w:pStyle w:val="1"/>
        <w:jc w:val="center"/>
        <w:rPr>
          <w:rFonts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8A6480" w:rsidRPr="000844E1" w:rsidRDefault="008A6480" w:rsidP="008A6480">
      <w:pPr>
        <w:rPr>
          <w:rFonts w:ascii="Times New Roman" w:hAnsi="Times New Roman" w:cs="Times New Roman"/>
        </w:rPr>
      </w:pPr>
    </w:p>
    <w:p w:rsidR="00FC1E5C" w:rsidRPr="000844E1" w:rsidRDefault="00FC1E5C" w:rsidP="0031239C">
      <w:pPr>
        <w:pStyle w:val="1"/>
        <w:jc w:val="center"/>
        <w:rPr>
          <w:rFonts w:cs="Times New Roman"/>
        </w:rPr>
      </w:pPr>
    </w:p>
    <w:p w:rsidR="00420B45" w:rsidRDefault="00420B45" w:rsidP="0031239C">
      <w:pPr>
        <w:pStyle w:val="1"/>
        <w:jc w:val="center"/>
        <w:rPr>
          <w:rFonts w:cs="Times New Roman"/>
        </w:rPr>
      </w:pPr>
      <w:bookmarkStart w:id="1" w:name="_Toc57976359"/>
    </w:p>
    <w:p w:rsidR="00420B45" w:rsidRPr="00420B45" w:rsidRDefault="00420B45" w:rsidP="00420B45"/>
    <w:p w:rsidR="00420B45" w:rsidRDefault="00420B45" w:rsidP="0031239C">
      <w:pPr>
        <w:pStyle w:val="1"/>
        <w:jc w:val="center"/>
        <w:rPr>
          <w:rFonts w:cs="Times New Roman"/>
        </w:rPr>
      </w:pPr>
    </w:p>
    <w:p w:rsidR="00094082" w:rsidRPr="000844E1" w:rsidRDefault="00094082" w:rsidP="0031239C">
      <w:pPr>
        <w:pStyle w:val="1"/>
        <w:jc w:val="center"/>
        <w:rPr>
          <w:rFonts w:cs="Times New Roman"/>
        </w:rPr>
      </w:pPr>
      <w:r w:rsidRPr="000844E1">
        <w:rPr>
          <w:rFonts w:cs="Times New Roman"/>
        </w:rPr>
        <w:t>Введение</w:t>
      </w:r>
      <w:bookmarkEnd w:id="1"/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480" w:rsidRPr="000844E1" w:rsidRDefault="008A6480" w:rsidP="00094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B45" w:rsidRDefault="004B7FA8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</w:r>
    </w:p>
    <w:p w:rsidR="00420B45" w:rsidRDefault="00420B45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94082" w:rsidRPr="000844E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Порядком разработки и реализации программ в области энергосбережения и повышения энергетической эффективности организаций с участием государства (муниципального образования)1, утвержденным приказом Министерстваэнергетики Российской Федерации от 30 июня 2014</w:t>
      </w:r>
      <w:proofErr w:type="gramEnd"/>
      <w:r w:rsidR="00094082" w:rsidRPr="000844E1">
        <w:rPr>
          <w:rFonts w:ascii="Times New Roman" w:hAnsi="Times New Roman" w:cs="Times New Roman"/>
          <w:sz w:val="28"/>
          <w:szCs w:val="28"/>
        </w:rPr>
        <w:t xml:space="preserve"> 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законодательства. </w:t>
      </w:r>
    </w:p>
    <w:p w:rsidR="00094082" w:rsidRPr="000844E1" w:rsidRDefault="00420B45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082" w:rsidRPr="000844E1"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использованияэнергетических ресурсов в муниципальном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Доме</w:t>
      </w:r>
      <w:r w:rsidR="00094082" w:rsidRPr="000844E1">
        <w:rPr>
          <w:rFonts w:ascii="Times New Roman" w:hAnsi="Times New Roman" w:cs="Times New Roman"/>
          <w:sz w:val="28"/>
          <w:szCs w:val="28"/>
        </w:rPr>
        <w:t xml:space="preserve"> детского творчества (далее – Учреждение).</w:t>
      </w: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82" w:rsidRPr="000844E1" w:rsidRDefault="00094082" w:rsidP="0009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AB" w:rsidRPr="000844E1" w:rsidRDefault="004612AB" w:rsidP="0031239C">
      <w:pPr>
        <w:pStyle w:val="1"/>
        <w:spacing w:before="0"/>
        <w:jc w:val="center"/>
        <w:rPr>
          <w:rFonts w:cs="Times New Roman"/>
        </w:rPr>
      </w:pPr>
      <w:bookmarkStart w:id="2" w:name="_Toc57976360"/>
      <w:r w:rsidRPr="000844E1">
        <w:rPr>
          <w:rFonts w:cs="Times New Roman"/>
        </w:rPr>
        <w:t>1. Комплексный анализ текущего состояния энергосбережения и</w:t>
      </w:r>
      <w:bookmarkEnd w:id="2"/>
    </w:p>
    <w:p w:rsidR="004612AB" w:rsidRPr="000844E1" w:rsidRDefault="004612AB" w:rsidP="0031239C">
      <w:pPr>
        <w:pStyle w:val="1"/>
        <w:spacing w:before="0"/>
        <w:jc w:val="center"/>
        <w:rPr>
          <w:rFonts w:cs="Times New Roman"/>
        </w:rPr>
      </w:pPr>
      <w:bookmarkStart w:id="3" w:name="_Toc57976361"/>
      <w:r w:rsidRPr="000844E1">
        <w:rPr>
          <w:rFonts w:cs="Times New Roman"/>
        </w:rPr>
        <w:t>повышения энергетической эффективности</w:t>
      </w:r>
      <w:bookmarkEnd w:id="3"/>
    </w:p>
    <w:p w:rsidR="004612AB" w:rsidRPr="000844E1" w:rsidRDefault="004612AB" w:rsidP="0046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AB" w:rsidRPr="000844E1" w:rsidRDefault="004612AB" w:rsidP="0046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  <w:t xml:space="preserve">В настоящее время затраты на энергетические ресурсы составляют существенную часть расходов </w:t>
      </w:r>
      <w:r w:rsidR="00420B45">
        <w:rPr>
          <w:rFonts w:ascii="Times New Roman" w:hAnsi="Times New Roman" w:cs="Times New Roman"/>
          <w:sz w:val="28"/>
          <w:szCs w:val="28"/>
        </w:rPr>
        <w:t>Учреждения</w:t>
      </w:r>
      <w:r w:rsidRPr="000844E1">
        <w:rPr>
          <w:rFonts w:ascii="Times New Roman" w:hAnsi="Times New Roman" w:cs="Times New Roman"/>
          <w:sz w:val="28"/>
          <w:szCs w:val="28"/>
        </w:rPr>
        <w:t xml:space="preserve">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</w:t>
      </w:r>
      <w:r w:rsidR="00420B45">
        <w:rPr>
          <w:rFonts w:ascii="Times New Roman" w:hAnsi="Times New Roman" w:cs="Times New Roman"/>
          <w:sz w:val="28"/>
          <w:szCs w:val="28"/>
        </w:rPr>
        <w:t>Учреждения</w:t>
      </w:r>
      <w:r w:rsidRPr="000844E1">
        <w:rPr>
          <w:rFonts w:ascii="Times New Roman" w:hAnsi="Times New Roman" w:cs="Times New Roman"/>
          <w:sz w:val="28"/>
          <w:szCs w:val="28"/>
        </w:rPr>
        <w:t>.</w:t>
      </w:r>
    </w:p>
    <w:p w:rsidR="00094082" w:rsidRPr="000844E1" w:rsidRDefault="004612AB" w:rsidP="0046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  <w:t xml:space="preserve">Структура энергопотребления </w:t>
      </w:r>
      <w:r w:rsidR="00420B45">
        <w:rPr>
          <w:rFonts w:ascii="Times New Roman" w:hAnsi="Times New Roman" w:cs="Times New Roman"/>
          <w:sz w:val="28"/>
          <w:szCs w:val="28"/>
        </w:rPr>
        <w:t>Учреждения</w:t>
      </w:r>
      <w:r w:rsidRPr="000844E1">
        <w:rPr>
          <w:rFonts w:ascii="Times New Roman" w:hAnsi="Times New Roman" w:cs="Times New Roman"/>
          <w:sz w:val="28"/>
          <w:szCs w:val="28"/>
        </w:rPr>
        <w:t xml:space="preserve"> представлена ниже:</w:t>
      </w:r>
    </w:p>
    <w:p w:rsidR="00C67E5D" w:rsidRPr="000844E1" w:rsidRDefault="00C67E5D" w:rsidP="0046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106" w:type="dxa"/>
        <w:jc w:val="center"/>
        <w:tblLook w:val="04A0" w:firstRow="1" w:lastRow="0" w:firstColumn="1" w:lastColumn="0" w:noHBand="0" w:noVBand="1"/>
      </w:tblPr>
      <w:tblGrid>
        <w:gridCol w:w="2137"/>
        <w:gridCol w:w="1567"/>
        <w:gridCol w:w="1275"/>
        <w:gridCol w:w="993"/>
        <w:gridCol w:w="1134"/>
      </w:tblGrid>
      <w:tr w:rsidR="00816327" w:rsidRPr="000844E1" w:rsidTr="00C34B0D">
        <w:trPr>
          <w:trHeight w:val="274"/>
          <w:jc w:val="center"/>
        </w:trPr>
        <w:tc>
          <w:tcPr>
            <w:tcW w:w="2137" w:type="dxa"/>
            <w:vMerge w:val="restart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Наименование энергетического ресурса</w:t>
            </w:r>
          </w:p>
        </w:tc>
        <w:tc>
          <w:tcPr>
            <w:tcW w:w="1567" w:type="dxa"/>
            <w:vMerge w:val="restart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Предшествующие</w:t>
            </w:r>
            <w:proofErr w:type="gramEnd"/>
            <w:r w:rsidRPr="004335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16327" w:rsidRPr="000844E1" w:rsidTr="00C34B0D">
        <w:trPr>
          <w:trHeight w:val="686"/>
          <w:jc w:val="center"/>
        </w:trPr>
        <w:tc>
          <w:tcPr>
            <w:tcW w:w="2137" w:type="dxa"/>
            <w:vMerge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4B0D" w:rsidRPr="00433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4B0D" w:rsidRPr="00433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4B0D" w:rsidRPr="004335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6327" w:rsidRPr="000844E1" w:rsidTr="00C34B0D">
        <w:trPr>
          <w:jc w:val="center"/>
        </w:trPr>
        <w:tc>
          <w:tcPr>
            <w:tcW w:w="2137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567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5" w:type="dxa"/>
          </w:tcPr>
          <w:p w:rsidR="00816327" w:rsidRPr="00433535" w:rsidRDefault="00D157E0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30,829</w:t>
            </w:r>
          </w:p>
        </w:tc>
        <w:tc>
          <w:tcPr>
            <w:tcW w:w="993" w:type="dxa"/>
          </w:tcPr>
          <w:p w:rsidR="00816327" w:rsidRPr="00433535" w:rsidRDefault="00D157E0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38,966</w:t>
            </w:r>
          </w:p>
        </w:tc>
        <w:tc>
          <w:tcPr>
            <w:tcW w:w="1134" w:type="dxa"/>
          </w:tcPr>
          <w:p w:rsidR="00816327" w:rsidRPr="00433535" w:rsidRDefault="00D157E0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35,212</w:t>
            </w:r>
          </w:p>
        </w:tc>
      </w:tr>
      <w:tr w:rsidR="00816327" w:rsidRPr="000844E1" w:rsidTr="00C34B0D">
        <w:trPr>
          <w:jc w:val="center"/>
        </w:trPr>
        <w:tc>
          <w:tcPr>
            <w:tcW w:w="2137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67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5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57E0" w:rsidRPr="00433535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7E0" w:rsidRPr="00433535">
              <w:rPr>
                <w:rFonts w:ascii="Times New Roman" w:hAnsi="Times New Roman" w:cs="Times New Roman"/>
                <w:sz w:val="24"/>
                <w:szCs w:val="24"/>
              </w:rPr>
              <w:t>0166</w:t>
            </w:r>
          </w:p>
        </w:tc>
        <w:tc>
          <w:tcPr>
            <w:tcW w:w="1134" w:type="dxa"/>
          </w:tcPr>
          <w:p w:rsidR="00816327" w:rsidRPr="00433535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7E0" w:rsidRPr="00433535">
              <w:rPr>
                <w:rFonts w:ascii="Times New Roman" w:hAnsi="Times New Roman" w:cs="Times New Roman"/>
                <w:sz w:val="24"/>
                <w:szCs w:val="24"/>
              </w:rPr>
              <w:t>0682</w:t>
            </w:r>
          </w:p>
        </w:tc>
      </w:tr>
      <w:tr w:rsidR="00816327" w:rsidRPr="000844E1" w:rsidTr="00C34B0D">
        <w:trPr>
          <w:jc w:val="center"/>
        </w:trPr>
        <w:tc>
          <w:tcPr>
            <w:tcW w:w="2137" w:type="dxa"/>
          </w:tcPr>
          <w:p w:rsidR="00816327" w:rsidRPr="000844E1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7" w:type="dxa"/>
          </w:tcPr>
          <w:p w:rsidR="00816327" w:rsidRPr="000844E1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5" w:type="dxa"/>
          </w:tcPr>
          <w:p w:rsidR="00816327" w:rsidRPr="000844E1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7E0">
              <w:rPr>
                <w:rFonts w:ascii="Times New Roman" w:hAnsi="Times New Roman" w:cs="Times New Roman"/>
                <w:sz w:val="24"/>
                <w:szCs w:val="24"/>
              </w:rPr>
              <w:t>63,99</w:t>
            </w:r>
          </w:p>
        </w:tc>
        <w:tc>
          <w:tcPr>
            <w:tcW w:w="993" w:type="dxa"/>
          </w:tcPr>
          <w:p w:rsidR="00816327" w:rsidRPr="000844E1" w:rsidRDefault="00816327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7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16327" w:rsidRPr="000844E1" w:rsidRDefault="00D157E0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C67E5D" w:rsidRPr="000844E1" w:rsidRDefault="00C67E5D" w:rsidP="0046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5D" w:rsidRPr="000844E1" w:rsidRDefault="00C67E5D" w:rsidP="00C6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  <w:t xml:space="preserve">Основными поставщиками энергетических ресурсов и коммунальных услуг </w:t>
      </w:r>
      <w:r w:rsidR="00CC690E" w:rsidRPr="000844E1">
        <w:rPr>
          <w:rFonts w:ascii="Times New Roman" w:hAnsi="Times New Roman" w:cs="Times New Roman"/>
          <w:sz w:val="28"/>
          <w:szCs w:val="28"/>
        </w:rPr>
        <w:t>муниципального</w:t>
      </w:r>
      <w:r w:rsidR="00420B45">
        <w:rPr>
          <w:rFonts w:ascii="Times New Roman" w:hAnsi="Times New Roman" w:cs="Times New Roman"/>
          <w:sz w:val="28"/>
          <w:szCs w:val="28"/>
        </w:rPr>
        <w:t xml:space="preserve"> У</w:t>
      </w:r>
      <w:r w:rsidRPr="000844E1">
        <w:rPr>
          <w:rFonts w:ascii="Times New Roman" w:hAnsi="Times New Roman" w:cs="Times New Roman"/>
          <w:sz w:val="28"/>
          <w:szCs w:val="28"/>
        </w:rPr>
        <w:t>чреждения являются:</w:t>
      </w:r>
    </w:p>
    <w:p w:rsidR="00C67E5D" w:rsidRPr="000844E1" w:rsidRDefault="00C67E5D" w:rsidP="00C6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>электрической энергии –</w:t>
      </w:r>
      <w:r w:rsidR="00CC690E" w:rsidRPr="000844E1">
        <w:rPr>
          <w:rFonts w:ascii="Times New Roman" w:hAnsi="Times New Roman" w:cs="Times New Roman"/>
          <w:sz w:val="28"/>
          <w:szCs w:val="28"/>
        </w:rPr>
        <w:t xml:space="preserve"> ПАО «ТНС </w:t>
      </w:r>
      <w:proofErr w:type="spellStart"/>
      <w:r w:rsidR="00CC690E" w:rsidRPr="000844E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C690E" w:rsidRPr="000844E1">
        <w:rPr>
          <w:rFonts w:ascii="Times New Roman" w:hAnsi="Times New Roman" w:cs="Times New Roman"/>
          <w:sz w:val="28"/>
          <w:szCs w:val="28"/>
        </w:rPr>
        <w:t xml:space="preserve"> Ярославль»</w:t>
      </w:r>
      <w:r w:rsidRPr="000844E1">
        <w:rPr>
          <w:rFonts w:ascii="Times New Roman" w:hAnsi="Times New Roman" w:cs="Times New Roman"/>
          <w:sz w:val="28"/>
          <w:szCs w:val="28"/>
        </w:rPr>
        <w:t>;</w:t>
      </w:r>
    </w:p>
    <w:p w:rsidR="00C67E5D" w:rsidRPr="000844E1" w:rsidRDefault="00C67E5D" w:rsidP="00C6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>тепловой энергии –</w:t>
      </w:r>
      <w:r w:rsidR="00FC004C" w:rsidRPr="000844E1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="00FC004C" w:rsidRPr="000844E1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FC004C" w:rsidRPr="000844E1">
        <w:rPr>
          <w:rFonts w:ascii="Times New Roman" w:hAnsi="Times New Roman" w:cs="Times New Roman"/>
          <w:sz w:val="28"/>
          <w:szCs w:val="28"/>
        </w:rPr>
        <w:t xml:space="preserve"> Ярославль»</w:t>
      </w:r>
      <w:r w:rsidRPr="000844E1">
        <w:rPr>
          <w:rFonts w:ascii="Times New Roman" w:hAnsi="Times New Roman" w:cs="Times New Roman"/>
          <w:sz w:val="28"/>
          <w:szCs w:val="28"/>
        </w:rPr>
        <w:t>;</w:t>
      </w:r>
    </w:p>
    <w:p w:rsidR="00C67E5D" w:rsidRPr="000844E1" w:rsidRDefault="00C67E5D" w:rsidP="00C6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>воды –</w:t>
      </w:r>
      <w:r w:rsidR="00FC004C" w:rsidRPr="000844E1">
        <w:rPr>
          <w:rFonts w:ascii="Times New Roman" w:hAnsi="Times New Roman" w:cs="Times New Roman"/>
          <w:sz w:val="28"/>
          <w:szCs w:val="28"/>
        </w:rPr>
        <w:t>ГП ЯО «Северный водоканал»</w:t>
      </w:r>
      <w:r w:rsidRPr="000844E1">
        <w:rPr>
          <w:rFonts w:ascii="Times New Roman" w:hAnsi="Times New Roman" w:cs="Times New Roman"/>
          <w:sz w:val="28"/>
          <w:szCs w:val="28"/>
        </w:rPr>
        <w:t>,</w:t>
      </w:r>
    </w:p>
    <w:p w:rsidR="00C67E5D" w:rsidRPr="000844E1" w:rsidRDefault="00C67E5D" w:rsidP="00C6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>Пр</w:t>
      </w:r>
      <w:r w:rsidR="00420B45">
        <w:rPr>
          <w:rFonts w:ascii="Times New Roman" w:hAnsi="Times New Roman" w:cs="Times New Roman"/>
          <w:sz w:val="28"/>
          <w:szCs w:val="28"/>
        </w:rPr>
        <w:t xml:space="preserve">имечание: Данные указаны за </w:t>
      </w:r>
      <w:r w:rsidR="004516FB" w:rsidRPr="007C68BA">
        <w:rPr>
          <w:rFonts w:ascii="Times New Roman" w:hAnsi="Times New Roman" w:cs="Times New Roman"/>
          <w:sz w:val="28"/>
          <w:szCs w:val="28"/>
        </w:rPr>
        <w:t>2022</w:t>
      </w:r>
      <w:r w:rsidRPr="007C68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844E1">
        <w:rPr>
          <w:rFonts w:ascii="Times New Roman" w:hAnsi="Times New Roman" w:cs="Times New Roman"/>
          <w:sz w:val="28"/>
          <w:szCs w:val="28"/>
        </w:rPr>
        <w:t xml:space="preserve"> (базовый год)</w:t>
      </w:r>
    </w:p>
    <w:p w:rsidR="00C67E5D" w:rsidRPr="000844E1" w:rsidRDefault="00420B45" w:rsidP="00C6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</w:t>
      </w:r>
      <w:r w:rsidR="00C67E5D" w:rsidRPr="000844E1">
        <w:rPr>
          <w:rFonts w:ascii="Times New Roman" w:hAnsi="Times New Roman" w:cs="Times New Roman"/>
          <w:sz w:val="28"/>
          <w:szCs w:val="28"/>
        </w:rPr>
        <w:t xml:space="preserve"> имеет в оперативном управлении следующие здания, строения,сооружения: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3188"/>
        <w:gridCol w:w="3189"/>
      </w:tblGrid>
      <w:tr w:rsidR="00390C2C" w:rsidRPr="000844E1" w:rsidTr="00930CEE">
        <w:tc>
          <w:tcPr>
            <w:tcW w:w="3194" w:type="dxa"/>
          </w:tcPr>
          <w:p w:rsidR="00390C2C" w:rsidRPr="000844E1" w:rsidRDefault="00390C2C" w:rsidP="00930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3188" w:type="dxa"/>
          </w:tcPr>
          <w:p w:rsidR="00390C2C" w:rsidRPr="000844E1" w:rsidRDefault="00390C2C" w:rsidP="00930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 № 1 , Ананьинская, д.4</w:t>
            </w:r>
          </w:p>
        </w:tc>
        <w:tc>
          <w:tcPr>
            <w:tcW w:w="3189" w:type="dxa"/>
          </w:tcPr>
          <w:p w:rsidR="00390C2C" w:rsidRPr="000844E1" w:rsidRDefault="00390C2C" w:rsidP="00930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 №2, Орджоникидзе, д.9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390C2C" w:rsidP="00930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объекта</w:t>
            </w:r>
            <w:r w:rsidR="00BA48FA" w:rsidRPr="00084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Этажность здания</w:t>
            </w:r>
          </w:p>
        </w:tc>
        <w:tc>
          <w:tcPr>
            <w:tcW w:w="3188" w:type="dxa"/>
          </w:tcPr>
          <w:p w:rsidR="00390C2C" w:rsidRPr="000844E1" w:rsidRDefault="00BA48FA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</w:tcPr>
          <w:p w:rsidR="00390C2C" w:rsidRPr="000844E1" w:rsidRDefault="00BA48FA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BA48F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 (кв. м) </w:t>
            </w:r>
          </w:p>
        </w:tc>
        <w:tc>
          <w:tcPr>
            <w:tcW w:w="3188" w:type="dxa"/>
          </w:tcPr>
          <w:p w:rsidR="00390C2C" w:rsidRPr="000844E1" w:rsidRDefault="00816327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450,9</w:t>
            </w:r>
          </w:p>
        </w:tc>
        <w:tc>
          <w:tcPr>
            <w:tcW w:w="3189" w:type="dxa"/>
          </w:tcPr>
          <w:p w:rsidR="00390C2C" w:rsidRPr="000844E1" w:rsidRDefault="00816327" w:rsidP="00816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4E1">
              <w:rPr>
                <w:rFonts w:ascii="Times New Roman" w:hAnsi="Times New Roman" w:cs="Times New Roman"/>
                <w:color w:val="000000"/>
              </w:rPr>
              <w:t>379,3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полезная площадь (кв. м)</w:t>
            </w:r>
          </w:p>
        </w:tc>
        <w:tc>
          <w:tcPr>
            <w:tcW w:w="3188" w:type="dxa"/>
          </w:tcPr>
          <w:p w:rsidR="00390C2C" w:rsidRPr="000844E1" w:rsidRDefault="00816327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413,71</w:t>
            </w:r>
          </w:p>
        </w:tc>
        <w:tc>
          <w:tcPr>
            <w:tcW w:w="3189" w:type="dxa"/>
          </w:tcPr>
          <w:p w:rsidR="00390C2C" w:rsidRPr="000844E1" w:rsidRDefault="00816327" w:rsidP="00816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4E1">
              <w:rPr>
                <w:rFonts w:ascii="Times New Roman" w:hAnsi="Times New Roman" w:cs="Times New Roman"/>
                <w:color w:val="000000"/>
              </w:rPr>
              <w:t>319,42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188" w:type="dxa"/>
          </w:tcPr>
          <w:p w:rsidR="00390C2C" w:rsidRPr="000844E1" w:rsidRDefault="00BA48FA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До 1917</w:t>
            </w:r>
          </w:p>
        </w:tc>
        <w:tc>
          <w:tcPr>
            <w:tcW w:w="3189" w:type="dxa"/>
          </w:tcPr>
          <w:p w:rsidR="00390C2C" w:rsidRPr="000844E1" w:rsidRDefault="00FC004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До 1917</w:t>
            </w:r>
          </w:p>
        </w:tc>
      </w:tr>
      <w:tr w:rsidR="00390C2C" w:rsidRPr="000844E1" w:rsidTr="00930CEE">
        <w:tc>
          <w:tcPr>
            <w:tcW w:w="3194" w:type="dxa"/>
          </w:tcPr>
          <w:p w:rsidR="00BD7D90" w:rsidRPr="000844E1" w:rsidRDefault="00BD7D90" w:rsidP="00BA48F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</w:t>
            </w:r>
          </w:p>
          <w:p w:rsidR="00390C2C" w:rsidRPr="000844E1" w:rsidRDefault="00BD7D90" w:rsidP="00BA48F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</w:t>
            </w:r>
          </w:p>
        </w:tc>
        <w:tc>
          <w:tcPr>
            <w:tcW w:w="3188" w:type="dxa"/>
          </w:tcPr>
          <w:p w:rsidR="00390C2C" w:rsidRPr="000844E1" w:rsidRDefault="00FC004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9" w:type="dxa"/>
          </w:tcPr>
          <w:p w:rsidR="00390C2C" w:rsidRPr="000844E1" w:rsidRDefault="00FC004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90C2C" w:rsidRPr="000844E1" w:rsidTr="00930CEE">
        <w:tc>
          <w:tcPr>
            <w:tcW w:w="3194" w:type="dxa"/>
          </w:tcPr>
          <w:p w:rsidR="00BD7D90" w:rsidRPr="000844E1" w:rsidRDefault="00BD7D90" w:rsidP="00BA48F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</w:t>
            </w:r>
          </w:p>
          <w:p w:rsidR="00390C2C" w:rsidRPr="000844E1" w:rsidRDefault="00BD7D90" w:rsidP="00BA48F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текущего ремонта</w:t>
            </w:r>
          </w:p>
        </w:tc>
        <w:tc>
          <w:tcPr>
            <w:tcW w:w="3188" w:type="dxa"/>
          </w:tcPr>
          <w:p w:rsidR="00390C2C" w:rsidRPr="000844E1" w:rsidRDefault="00FC004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89" w:type="dxa"/>
          </w:tcPr>
          <w:p w:rsidR="00390C2C" w:rsidRPr="000844E1" w:rsidRDefault="00FC004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Сведения об оснащенности приборами учета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BA48F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Электроэнергия: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BA48FA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ходимое количество </w:t>
            </w:r>
            <w:r w:rsidR="00BA48FA" w:rsidRPr="0008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ПУ, 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88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9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введено в эксплуатацию, шт.</w:t>
            </w:r>
          </w:p>
        </w:tc>
        <w:tc>
          <w:tcPr>
            <w:tcW w:w="3188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CF3B74" w:rsidP="00BA48F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7D90" w:rsidRPr="000844E1">
              <w:rPr>
                <w:rFonts w:ascii="Times New Roman" w:hAnsi="Times New Roman" w:cs="Times New Roman"/>
                <w:sz w:val="24"/>
                <w:szCs w:val="24"/>
              </w:rPr>
              <w:t>епловая энергия: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ПУ, шт.</w:t>
            </w:r>
          </w:p>
        </w:tc>
        <w:tc>
          <w:tcPr>
            <w:tcW w:w="3188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CF3B74" w:rsidP="00930CE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из них введено в эксплуатацию, шт.</w:t>
            </w:r>
          </w:p>
        </w:tc>
        <w:tc>
          <w:tcPr>
            <w:tcW w:w="3188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CF3B74" w:rsidP="00BA48F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D90" w:rsidRPr="000844E1">
              <w:rPr>
                <w:rFonts w:ascii="Times New Roman" w:hAnsi="Times New Roman" w:cs="Times New Roman"/>
                <w:sz w:val="24"/>
                <w:szCs w:val="24"/>
              </w:rPr>
              <w:t>ода холодная</w:t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ПУ, шт.</w:t>
            </w:r>
          </w:p>
        </w:tc>
        <w:tc>
          <w:tcPr>
            <w:tcW w:w="3188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BD7D90" w:rsidP="00930CE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из них введено в эксплуатацию, шт.</w:t>
            </w:r>
          </w:p>
        </w:tc>
        <w:tc>
          <w:tcPr>
            <w:tcW w:w="3188" w:type="dxa"/>
          </w:tcPr>
          <w:p w:rsidR="00390C2C" w:rsidRPr="000844E1" w:rsidRDefault="00B261B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90C2C" w:rsidRPr="000844E1" w:rsidRDefault="00420B45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C2C" w:rsidRPr="000844E1" w:rsidTr="00930CEE">
        <w:tc>
          <w:tcPr>
            <w:tcW w:w="3194" w:type="dxa"/>
          </w:tcPr>
          <w:p w:rsidR="00930CEE" w:rsidRPr="000844E1" w:rsidRDefault="00930CEE" w:rsidP="00930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proofErr w:type="gramEnd"/>
          </w:p>
          <w:p w:rsidR="00390C2C" w:rsidRPr="000844E1" w:rsidRDefault="00930CEE" w:rsidP="00930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тепловыми пунктами (ИТП), шт.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r w:rsidR="00BA48FA" w:rsidRPr="00084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замены, ед.</w:t>
            </w:r>
          </w:p>
        </w:tc>
        <w:tc>
          <w:tcPr>
            <w:tcW w:w="3188" w:type="dxa"/>
          </w:tcPr>
          <w:p w:rsidR="00390C2C" w:rsidRPr="000844E1" w:rsidRDefault="000C1FF4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9" w:type="dxa"/>
          </w:tcPr>
          <w:p w:rsidR="00390C2C" w:rsidRPr="000844E1" w:rsidRDefault="001D7D0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утепления, ед.</w:t>
            </w:r>
          </w:p>
        </w:tc>
        <w:tc>
          <w:tcPr>
            <w:tcW w:w="3188" w:type="dxa"/>
          </w:tcPr>
          <w:p w:rsidR="00390C2C" w:rsidRPr="000844E1" w:rsidRDefault="00A0010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9" w:type="dxa"/>
          </w:tcPr>
          <w:p w:rsidR="00390C2C" w:rsidRPr="000844E1" w:rsidRDefault="00A0010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C2C" w:rsidRPr="000844E1" w:rsidTr="00930CEE">
        <w:tc>
          <w:tcPr>
            <w:tcW w:w="3194" w:type="dxa"/>
          </w:tcPr>
          <w:p w:rsidR="00930CEE" w:rsidRPr="000844E1" w:rsidRDefault="00930CEE" w:rsidP="00420B45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энергосберегающими</w:t>
            </w:r>
            <w:proofErr w:type="gramEnd"/>
          </w:p>
          <w:p w:rsidR="00930CEE" w:rsidRPr="000844E1" w:rsidRDefault="00420B45" w:rsidP="00420B45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стеклопакетами (% </w:t>
            </w:r>
            <w:r w:rsidR="00930CEE" w:rsidRPr="000844E1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  <w:proofErr w:type="gramEnd"/>
          </w:p>
          <w:p w:rsidR="00390C2C" w:rsidRPr="000844E1" w:rsidRDefault="00930CEE" w:rsidP="00420B45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остекления)</w:t>
            </w:r>
          </w:p>
        </w:tc>
        <w:tc>
          <w:tcPr>
            <w:tcW w:w="3188" w:type="dxa"/>
          </w:tcPr>
          <w:p w:rsidR="00390C2C" w:rsidRPr="000844E1" w:rsidRDefault="001E6EF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9" w:type="dxa"/>
          </w:tcPr>
          <w:p w:rsidR="00390C2C" w:rsidRPr="000844E1" w:rsidRDefault="001D7D0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  <w:r w:rsidR="00BA48FA" w:rsidRPr="00084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тип кровли</w:t>
            </w:r>
          </w:p>
        </w:tc>
        <w:tc>
          <w:tcPr>
            <w:tcW w:w="3188" w:type="dxa"/>
          </w:tcPr>
          <w:p w:rsidR="00390C2C" w:rsidRPr="000844E1" w:rsidRDefault="00A0010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3189" w:type="dxa"/>
          </w:tcPr>
          <w:p w:rsidR="00390C2C" w:rsidRPr="000844E1" w:rsidRDefault="001E6EF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металлопрофиль</w:t>
            </w:r>
            <w:proofErr w:type="spellEnd"/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3188" w:type="dxa"/>
          </w:tcPr>
          <w:p w:rsidR="00390C2C" w:rsidRPr="000844E1" w:rsidRDefault="00FC004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3189" w:type="dxa"/>
          </w:tcPr>
          <w:p w:rsidR="00390C2C" w:rsidRPr="000844E1" w:rsidRDefault="00FC004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390C2C" w:rsidRPr="000844E1" w:rsidTr="00930CEE">
        <w:tc>
          <w:tcPr>
            <w:tcW w:w="3194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требующей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ремонта,</w:t>
            </w:r>
          </w:p>
          <w:p w:rsidR="00390C2C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88" w:type="dxa"/>
          </w:tcPr>
          <w:p w:rsidR="00390C2C" w:rsidRPr="000844E1" w:rsidRDefault="001E6EF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90C2C" w:rsidRPr="000844E1" w:rsidRDefault="00A0010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Кол-во входных дверей, ед., в том числе</w:t>
            </w:r>
            <w:r w:rsidR="00BA48FA" w:rsidRPr="00084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8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90C2C" w:rsidRPr="000844E1" w:rsidRDefault="00390C2C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замены, ед.</w:t>
            </w:r>
          </w:p>
        </w:tc>
        <w:tc>
          <w:tcPr>
            <w:tcW w:w="3188" w:type="dxa"/>
          </w:tcPr>
          <w:p w:rsidR="00390C2C" w:rsidRPr="000844E1" w:rsidRDefault="001E6EF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90C2C" w:rsidRPr="000844E1" w:rsidRDefault="001E6EF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C2C" w:rsidRPr="000844E1" w:rsidTr="00930CEE">
        <w:tc>
          <w:tcPr>
            <w:tcW w:w="3194" w:type="dxa"/>
          </w:tcPr>
          <w:p w:rsidR="00390C2C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 тамбурами, ед.</w:t>
            </w:r>
          </w:p>
        </w:tc>
        <w:tc>
          <w:tcPr>
            <w:tcW w:w="3188" w:type="dxa"/>
          </w:tcPr>
          <w:p w:rsidR="00390C2C" w:rsidRPr="000844E1" w:rsidRDefault="00981CA5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9" w:type="dxa"/>
          </w:tcPr>
          <w:p w:rsidR="00390C2C" w:rsidRPr="000844E1" w:rsidRDefault="00981CA5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CEE" w:rsidRPr="000844E1" w:rsidTr="00930CE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194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утепления, ед.</w:t>
            </w:r>
          </w:p>
        </w:tc>
        <w:tc>
          <w:tcPr>
            <w:tcW w:w="3188" w:type="dxa"/>
          </w:tcPr>
          <w:p w:rsidR="00930CEE" w:rsidRPr="000844E1" w:rsidRDefault="00420B45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930CEE" w:rsidRPr="000844E1" w:rsidRDefault="00A00102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CEE" w:rsidRPr="000844E1" w:rsidTr="00930CEE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3194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Кол-во лифтов, ед.</w:t>
            </w:r>
          </w:p>
        </w:tc>
        <w:tc>
          <w:tcPr>
            <w:tcW w:w="3188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9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CEE" w:rsidRPr="000844E1" w:rsidTr="00930CE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194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Износ здания, строения, сооружения, %</w:t>
            </w:r>
          </w:p>
        </w:tc>
        <w:tc>
          <w:tcPr>
            <w:tcW w:w="3188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930CEE" w:rsidRPr="000844E1" w:rsidRDefault="00930CEE" w:rsidP="00BA4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A5" w:rsidRPr="000844E1" w:rsidTr="00930CEE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3194" w:type="dxa"/>
          </w:tcPr>
          <w:p w:rsidR="00981CA5" w:rsidRPr="000844E1" w:rsidRDefault="00981CA5" w:rsidP="00BA48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3188" w:type="dxa"/>
          </w:tcPr>
          <w:p w:rsidR="00981CA5" w:rsidRPr="000844E1" w:rsidRDefault="00981CA5" w:rsidP="0082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sym w:font="Symbol" w:char="F07E"/>
            </w: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89" w:type="dxa"/>
          </w:tcPr>
          <w:p w:rsidR="00981CA5" w:rsidRPr="000844E1" w:rsidRDefault="00981CA5" w:rsidP="00826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C67E5D" w:rsidRPr="000844E1" w:rsidRDefault="00C67E5D" w:rsidP="00C6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102" w:rsidRPr="000844E1" w:rsidRDefault="00A00102" w:rsidP="00A0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</w:r>
      <w:r w:rsidRPr="004516FB">
        <w:rPr>
          <w:rFonts w:ascii="Times New Roman" w:hAnsi="Times New Roman" w:cs="Times New Roman"/>
          <w:sz w:val="28"/>
          <w:szCs w:val="28"/>
        </w:rPr>
        <w:t xml:space="preserve">Для освещения помещений </w:t>
      </w:r>
      <w:r w:rsidR="00FC004C" w:rsidRPr="004516FB">
        <w:rPr>
          <w:rFonts w:ascii="Times New Roman" w:hAnsi="Times New Roman" w:cs="Times New Roman"/>
          <w:sz w:val="28"/>
          <w:szCs w:val="28"/>
        </w:rPr>
        <w:t>учреждения</w:t>
      </w:r>
      <w:r w:rsidRPr="004516FB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752C29" w:rsidRPr="004516FB">
        <w:rPr>
          <w:rFonts w:ascii="Times New Roman" w:hAnsi="Times New Roman" w:cs="Times New Roman"/>
          <w:sz w:val="28"/>
          <w:szCs w:val="28"/>
        </w:rPr>
        <w:t>:90</w:t>
      </w:r>
      <w:r w:rsidRPr="004516FB">
        <w:rPr>
          <w:rFonts w:ascii="Times New Roman" w:hAnsi="Times New Roman" w:cs="Times New Roman"/>
          <w:sz w:val="28"/>
          <w:szCs w:val="28"/>
        </w:rPr>
        <w:t xml:space="preserve"> свет</w:t>
      </w:r>
      <w:r w:rsidR="00752C29" w:rsidRPr="004516FB">
        <w:rPr>
          <w:rFonts w:ascii="Times New Roman" w:hAnsi="Times New Roman" w:cs="Times New Roman"/>
          <w:sz w:val="28"/>
          <w:szCs w:val="28"/>
        </w:rPr>
        <w:t>ильников типа ЛПО (из которых 180 шт. ртутных ламп), 38 светодиодных светильников, 51 шт. энергосберегающих ламп и 18 шт. ламп накаливания</w:t>
      </w:r>
      <w:r w:rsidRPr="004516FB">
        <w:rPr>
          <w:rFonts w:ascii="Times New Roman" w:hAnsi="Times New Roman" w:cs="Times New Roman"/>
          <w:sz w:val="28"/>
          <w:szCs w:val="28"/>
        </w:rPr>
        <w:t>. Внутренняя система освещения</w:t>
      </w:r>
      <w:r w:rsidRPr="000844E1">
        <w:rPr>
          <w:rFonts w:ascii="Times New Roman" w:hAnsi="Times New Roman" w:cs="Times New Roman"/>
          <w:sz w:val="28"/>
          <w:szCs w:val="28"/>
        </w:rPr>
        <w:t xml:space="preserve"> не оснащена автоматической системой управления и датчиками движения. </w:t>
      </w:r>
    </w:p>
    <w:p w:rsidR="00BA48FA" w:rsidRPr="000844E1" w:rsidRDefault="00A00102" w:rsidP="00A0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  <w:t xml:space="preserve">Для наружного освещения используется 3 светильника, из которых 3 шт. ламп накаливания, 0 шт. ртутных ламп, 0 шт. натриевых ламп, 3 шт. </w:t>
      </w:r>
      <w:r w:rsidRPr="000844E1">
        <w:rPr>
          <w:rFonts w:ascii="Times New Roman" w:hAnsi="Times New Roman" w:cs="Times New Roman"/>
          <w:sz w:val="28"/>
          <w:szCs w:val="28"/>
        </w:rPr>
        <w:lastRenderedPageBreak/>
        <w:t>светодиодных светильника. Система наружного освещения не оснащена автоматической системой управления, не оснащена датчиками движения.</w:t>
      </w:r>
    </w:p>
    <w:p w:rsidR="00FC004C" w:rsidRPr="000844E1" w:rsidRDefault="00FC004C" w:rsidP="00A0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102" w:rsidRPr="000844E1" w:rsidRDefault="00925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>Оплата энергетических ресурсов</w:t>
      </w:r>
      <w:r w:rsidR="00CF0F84" w:rsidRPr="000844E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844E1">
        <w:rPr>
          <w:rFonts w:ascii="Times New Roman" w:hAnsi="Times New Roman" w:cs="Times New Roman"/>
          <w:sz w:val="28"/>
          <w:szCs w:val="28"/>
        </w:rPr>
        <w:t>:</w:t>
      </w:r>
    </w:p>
    <w:p w:rsidR="00CF0F84" w:rsidRPr="000844E1" w:rsidRDefault="00CF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2603"/>
        <w:gridCol w:w="1406"/>
        <w:gridCol w:w="1406"/>
        <w:gridCol w:w="1406"/>
      </w:tblGrid>
      <w:tr w:rsidR="007E3540" w:rsidRPr="000844E1" w:rsidTr="007E3540">
        <w:trPr>
          <w:trHeight w:val="165"/>
        </w:trPr>
        <w:tc>
          <w:tcPr>
            <w:tcW w:w="3186" w:type="dxa"/>
            <w:vMerge w:val="restart"/>
          </w:tcPr>
          <w:p w:rsidR="007E3540" w:rsidRPr="000844E1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Наименование энергетического ресурса</w:t>
            </w:r>
          </w:p>
        </w:tc>
        <w:tc>
          <w:tcPr>
            <w:tcW w:w="3185" w:type="dxa"/>
            <w:vMerge w:val="restart"/>
          </w:tcPr>
          <w:p w:rsidR="007E3540" w:rsidRPr="006B4F04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Единицы  измерения</w:t>
            </w:r>
          </w:p>
        </w:tc>
        <w:tc>
          <w:tcPr>
            <w:tcW w:w="3200" w:type="dxa"/>
            <w:gridSpan w:val="3"/>
          </w:tcPr>
          <w:p w:rsidR="007E3540" w:rsidRPr="006B4F04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Годовые затраты</w:t>
            </w:r>
          </w:p>
        </w:tc>
      </w:tr>
      <w:tr w:rsidR="00CF0F84" w:rsidRPr="000844E1" w:rsidTr="007E3540">
        <w:trPr>
          <w:trHeight w:val="150"/>
        </w:trPr>
        <w:tc>
          <w:tcPr>
            <w:tcW w:w="3186" w:type="dxa"/>
            <w:vMerge/>
          </w:tcPr>
          <w:p w:rsidR="007E3540" w:rsidRPr="000844E1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vMerge/>
          </w:tcPr>
          <w:p w:rsidR="007E3540" w:rsidRPr="006B4F04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7E3540" w:rsidRPr="006B4F04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16FB" w:rsidRPr="006B4F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4" w:type="dxa"/>
          </w:tcPr>
          <w:p w:rsidR="007E3540" w:rsidRPr="006B4F04" w:rsidRDefault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80" w:type="dxa"/>
          </w:tcPr>
          <w:p w:rsidR="007E3540" w:rsidRPr="006B4F04" w:rsidRDefault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F0F84" w:rsidRPr="000844E1" w:rsidTr="007E3540">
        <w:tc>
          <w:tcPr>
            <w:tcW w:w="3186" w:type="dxa"/>
          </w:tcPr>
          <w:p w:rsidR="007E3540" w:rsidRPr="000844E1" w:rsidRDefault="007E3540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3185" w:type="dxa"/>
          </w:tcPr>
          <w:p w:rsidR="007E3540" w:rsidRPr="006B4F04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76" w:type="dxa"/>
          </w:tcPr>
          <w:p w:rsidR="007E3540" w:rsidRPr="006B4F04" w:rsidRDefault="006B4F04" w:rsidP="00CF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193584,21</w:t>
            </w:r>
          </w:p>
        </w:tc>
        <w:tc>
          <w:tcPr>
            <w:tcW w:w="1244" w:type="dxa"/>
          </w:tcPr>
          <w:p w:rsidR="007E3540" w:rsidRPr="006B4F04" w:rsidRDefault="006B4F04" w:rsidP="00B56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253601,94</w:t>
            </w:r>
          </w:p>
        </w:tc>
        <w:tc>
          <w:tcPr>
            <w:tcW w:w="1180" w:type="dxa"/>
          </w:tcPr>
          <w:p w:rsidR="007E3540" w:rsidRPr="006B4F04" w:rsidRDefault="006B4F04" w:rsidP="00CF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242495,49</w:t>
            </w:r>
          </w:p>
        </w:tc>
      </w:tr>
      <w:tr w:rsidR="00CF0F84" w:rsidRPr="000844E1" w:rsidTr="007E3540">
        <w:tc>
          <w:tcPr>
            <w:tcW w:w="3186" w:type="dxa"/>
          </w:tcPr>
          <w:p w:rsidR="007E3540" w:rsidRPr="000844E1" w:rsidRDefault="007E3540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3185" w:type="dxa"/>
          </w:tcPr>
          <w:p w:rsidR="007E3540" w:rsidRPr="006B4F04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76" w:type="dxa"/>
          </w:tcPr>
          <w:p w:rsidR="007E3540" w:rsidRPr="006B4F04" w:rsidRDefault="006B4F04" w:rsidP="00CF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94179,85</w:t>
            </w:r>
          </w:p>
        </w:tc>
        <w:tc>
          <w:tcPr>
            <w:tcW w:w="1244" w:type="dxa"/>
          </w:tcPr>
          <w:p w:rsidR="007E3540" w:rsidRPr="006B4F04" w:rsidRDefault="006B4F04" w:rsidP="00CF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87833,25</w:t>
            </w:r>
          </w:p>
        </w:tc>
        <w:tc>
          <w:tcPr>
            <w:tcW w:w="1180" w:type="dxa"/>
          </w:tcPr>
          <w:p w:rsidR="007E3540" w:rsidRPr="006B4F04" w:rsidRDefault="006B4F04" w:rsidP="006B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96077,45</w:t>
            </w:r>
          </w:p>
        </w:tc>
      </w:tr>
      <w:tr w:rsidR="00CF0F84" w:rsidRPr="000844E1" w:rsidTr="007E3540">
        <w:tc>
          <w:tcPr>
            <w:tcW w:w="3186" w:type="dxa"/>
          </w:tcPr>
          <w:p w:rsidR="007E3540" w:rsidRPr="000844E1" w:rsidRDefault="007E3540" w:rsidP="00B5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3185" w:type="dxa"/>
          </w:tcPr>
          <w:p w:rsidR="007E3540" w:rsidRPr="006B4F04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76" w:type="dxa"/>
          </w:tcPr>
          <w:p w:rsidR="007E3540" w:rsidRPr="006B4F04" w:rsidRDefault="006B4F04" w:rsidP="00CF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15753,72</w:t>
            </w:r>
          </w:p>
        </w:tc>
        <w:tc>
          <w:tcPr>
            <w:tcW w:w="1244" w:type="dxa"/>
          </w:tcPr>
          <w:p w:rsidR="007E3540" w:rsidRPr="006B4F04" w:rsidRDefault="006B4F04" w:rsidP="00CF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12367,07</w:t>
            </w:r>
          </w:p>
        </w:tc>
        <w:tc>
          <w:tcPr>
            <w:tcW w:w="1180" w:type="dxa"/>
          </w:tcPr>
          <w:p w:rsidR="007E3540" w:rsidRPr="006B4F04" w:rsidRDefault="006B4F04" w:rsidP="00CF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10429,07</w:t>
            </w:r>
          </w:p>
        </w:tc>
      </w:tr>
      <w:tr w:rsidR="00CF0F84" w:rsidRPr="000844E1" w:rsidTr="007E3540">
        <w:tc>
          <w:tcPr>
            <w:tcW w:w="3186" w:type="dxa"/>
          </w:tcPr>
          <w:p w:rsidR="007E3540" w:rsidRPr="000844E1" w:rsidRDefault="007E3540" w:rsidP="007E35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4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5" w:type="dxa"/>
          </w:tcPr>
          <w:p w:rsidR="007E3540" w:rsidRPr="000844E1" w:rsidRDefault="007E3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4E1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844E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76" w:type="dxa"/>
          </w:tcPr>
          <w:p w:rsidR="007E3540" w:rsidRPr="006B4F04" w:rsidRDefault="006B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303,517</w:t>
            </w:r>
          </w:p>
        </w:tc>
        <w:tc>
          <w:tcPr>
            <w:tcW w:w="1244" w:type="dxa"/>
          </w:tcPr>
          <w:p w:rsidR="007E3540" w:rsidRPr="006B4F04" w:rsidRDefault="006B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353,802</w:t>
            </w:r>
          </w:p>
        </w:tc>
        <w:tc>
          <w:tcPr>
            <w:tcW w:w="1180" w:type="dxa"/>
          </w:tcPr>
          <w:p w:rsidR="007E3540" w:rsidRPr="006B4F04" w:rsidRDefault="006B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04">
              <w:rPr>
                <w:rFonts w:ascii="Times New Roman" w:hAnsi="Times New Roman" w:cs="Times New Roman"/>
                <w:sz w:val="28"/>
                <w:szCs w:val="28"/>
              </w:rPr>
              <w:t>349,002</w:t>
            </w:r>
            <w:bookmarkStart w:id="4" w:name="_GoBack"/>
            <w:bookmarkEnd w:id="4"/>
          </w:p>
        </w:tc>
      </w:tr>
    </w:tbl>
    <w:p w:rsidR="007E3540" w:rsidRPr="000844E1" w:rsidRDefault="007E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2F" w:rsidRPr="000844E1" w:rsidRDefault="00453D2F" w:rsidP="0045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44E1">
        <w:rPr>
          <w:rFonts w:ascii="Times New Roman" w:hAnsi="Times New Roman" w:cs="Times New Roman"/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</w:t>
      </w:r>
      <w:proofErr w:type="gramEnd"/>
      <w:r w:rsidRPr="000844E1">
        <w:rPr>
          <w:rFonts w:ascii="Times New Roman" w:hAnsi="Times New Roman" w:cs="Times New Roman"/>
          <w:sz w:val="28"/>
          <w:szCs w:val="28"/>
        </w:rPr>
        <w:t>:</w:t>
      </w:r>
    </w:p>
    <w:p w:rsidR="00453D2F" w:rsidRPr="000844E1" w:rsidRDefault="00B56FA7" w:rsidP="0045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 xml:space="preserve"> - </w:t>
      </w:r>
      <w:r w:rsidR="00453D2F" w:rsidRPr="000844E1">
        <w:rPr>
          <w:rFonts w:ascii="Times New Roman" w:hAnsi="Times New Roman" w:cs="Times New Roman"/>
          <w:sz w:val="28"/>
          <w:szCs w:val="28"/>
        </w:rPr>
        <w:t>слабая мотивация работников организации к энергосбережению и повышениюэнергетической эффективности;</w:t>
      </w:r>
    </w:p>
    <w:p w:rsidR="00453D2F" w:rsidRPr="000844E1" w:rsidRDefault="00B56FA7" w:rsidP="0045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 xml:space="preserve"> - </w:t>
      </w:r>
      <w:r w:rsidR="00453D2F" w:rsidRPr="000844E1">
        <w:rPr>
          <w:rFonts w:ascii="Times New Roman" w:hAnsi="Times New Roman" w:cs="Times New Roman"/>
          <w:sz w:val="28"/>
          <w:szCs w:val="28"/>
        </w:rPr>
        <w:t xml:space="preserve">слабая система </w:t>
      </w:r>
      <w:proofErr w:type="gramStart"/>
      <w:r w:rsidR="00453D2F" w:rsidRPr="000844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53D2F" w:rsidRPr="000844E1">
        <w:rPr>
          <w:rFonts w:ascii="Times New Roman" w:hAnsi="Times New Roman" w:cs="Times New Roman"/>
          <w:sz w:val="28"/>
          <w:szCs w:val="28"/>
        </w:rPr>
        <w:t xml:space="preserve"> рациональным расходованием энергии и воды;</w:t>
      </w:r>
    </w:p>
    <w:p w:rsidR="00453D2F" w:rsidRPr="000844E1" w:rsidRDefault="00B56FA7" w:rsidP="0045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 xml:space="preserve">- </w:t>
      </w:r>
      <w:r w:rsidR="00453D2F" w:rsidRPr="000844E1">
        <w:rPr>
          <w:rFonts w:ascii="Times New Roman" w:hAnsi="Times New Roman" w:cs="Times New Roman"/>
          <w:sz w:val="28"/>
          <w:szCs w:val="28"/>
        </w:rPr>
        <w:t>высокий износ основных фондов организации, в том числе зданий, строений,сооружений, инженерных коммуникаций.</w:t>
      </w:r>
    </w:p>
    <w:p w:rsidR="00453D2F" w:rsidRPr="000844E1" w:rsidRDefault="0045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17" w:rsidRPr="000844E1" w:rsidRDefault="00AC2517" w:rsidP="0031239C">
      <w:pPr>
        <w:pStyle w:val="1"/>
        <w:jc w:val="center"/>
        <w:rPr>
          <w:rFonts w:cs="Times New Roman"/>
        </w:rPr>
      </w:pPr>
      <w:bookmarkStart w:id="5" w:name="_Toc57976362"/>
      <w:r w:rsidRPr="000844E1">
        <w:rPr>
          <w:rFonts w:cs="Times New Roman"/>
        </w:rPr>
        <w:t>2. Раздел «Цели и задачи Программы»</w:t>
      </w:r>
      <w:bookmarkEnd w:id="5"/>
    </w:p>
    <w:p w:rsidR="00AC2517" w:rsidRPr="000844E1" w:rsidRDefault="00AC2517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17" w:rsidRPr="000844E1" w:rsidRDefault="00AC2517" w:rsidP="0031239C">
      <w:pPr>
        <w:pStyle w:val="2"/>
        <w:jc w:val="center"/>
        <w:rPr>
          <w:rFonts w:cs="Times New Roman"/>
        </w:rPr>
      </w:pPr>
      <w:bookmarkStart w:id="6" w:name="_Toc57976363"/>
      <w:r w:rsidRPr="000844E1">
        <w:rPr>
          <w:rFonts w:cs="Times New Roman"/>
        </w:rPr>
        <w:t>2.1. Цели Программы</w:t>
      </w:r>
      <w:bookmarkEnd w:id="6"/>
    </w:p>
    <w:p w:rsidR="00DC7F05" w:rsidRPr="000844E1" w:rsidRDefault="00DC7F05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17" w:rsidRPr="000844E1" w:rsidRDefault="00DC7F05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</w:r>
      <w:r w:rsidR="00AC2517" w:rsidRPr="000844E1">
        <w:rPr>
          <w:rFonts w:ascii="Times New Roman" w:hAnsi="Times New Roman" w:cs="Times New Roman"/>
          <w:sz w:val="28"/>
          <w:szCs w:val="28"/>
        </w:rPr>
        <w:t>Ос</w:t>
      </w:r>
      <w:r w:rsidR="00981CA5" w:rsidRPr="000844E1">
        <w:rPr>
          <w:rFonts w:ascii="Times New Roman" w:hAnsi="Times New Roman" w:cs="Times New Roman"/>
          <w:sz w:val="28"/>
          <w:szCs w:val="28"/>
        </w:rPr>
        <w:t xml:space="preserve">новной целью Программы является </w:t>
      </w:r>
      <w:r w:rsidR="00AC2517" w:rsidRPr="000844E1">
        <w:rPr>
          <w:rFonts w:ascii="Times New Roman" w:hAnsi="Times New Roman" w:cs="Times New Roman"/>
          <w:sz w:val="28"/>
          <w:szCs w:val="28"/>
        </w:rPr>
        <w:t xml:space="preserve">обеспечение рационального использования энергетических ресурсов ворганизации за счет реализации мероприятий по энергосбережению и повышению </w:t>
      </w:r>
      <w:r w:rsidR="00981CA5" w:rsidRPr="000844E1">
        <w:rPr>
          <w:rFonts w:ascii="Times New Roman" w:hAnsi="Times New Roman" w:cs="Times New Roman"/>
          <w:sz w:val="28"/>
          <w:szCs w:val="28"/>
        </w:rPr>
        <w:t>энергетической эффективности.</w:t>
      </w:r>
      <w:r w:rsidRPr="000844E1">
        <w:rPr>
          <w:rFonts w:ascii="Times New Roman" w:hAnsi="Times New Roman" w:cs="Times New Roman"/>
          <w:sz w:val="28"/>
          <w:szCs w:val="28"/>
        </w:rPr>
        <w:tab/>
      </w:r>
    </w:p>
    <w:p w:rsidR="00AC2517" w:rsidRPr="000844E1" w:rsidRDefault="00AC2517" w:rsidP="0031239C">
      <w:pPr>
        <w:pStyle w:val="2"/>
        <w:jc w:val="center"/>
        <w:rPr>
          <w:rFonts w:cs="Times New Roman"/>
        </w:rPr>
      </w:pPr>
      <w:bookmarkStart w:id="7" w:name="_Toc57976364"/>
      <w:r w:rsidRPr="000844E1">
        <w:rPr>
          <w:rFonts w:cs="Times New Roman"/>
        </w:rPr>
        <w:t>2.2. Задачи Программы.</w:t>
      </w:r>
      <w:bookmarkEnd w:id="7"/>
    </w:p>
    <w:p w:rsidR="00DC7F05" w:rsidRPr="000844E1" w:rsidRDefault="00DC7F05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17" w:rsidRPr="000844E1" w:rsidRDefault="00DC7F05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</w:r>
      <w:r w:rsidR="00AC2517" w:rsidRPr="000844E1">
        <w:rPr>
          <w:rFonts w:ascii="Times New Roman" w:hAnsi="Times New Roman" w:cs="Times New Roman"/>
          <w:sz w:val="28"/>
          <w:szCs w:val="28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AE101F" w:rsidRPr="00AE101F" w:rsidRDefault="00AE101F" w:rsidP="00AE10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1F">
        <w:rPr>
          <w:rFonts w:ascii="Times New Roman" w:hAnsi="Times New Roman" w:cs="Times New Roman"/>
          <w:sz w:val="28"/>
          <w:szCs w:val="28"/>
        </w:rPr>
        <w:t>реализация организационных мероприятий по энергосбережению и повышению энергетической эффективности;</w:t>
      </w:r>
    </w:p>
    <w:p w:rsidR="00AE101F" w:rsidRPr="00AE101F" w:rsidRDefault="00AE101F" w:rsidP="00AE10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1F">
        <w:rPr>
          <w:rFonts w:ascii="Times New Roman" w:hAnsi="Times New Roman" w:cs="Times New Roman"/>
          <w:sz w:val="28"/>
          <w:szCs w:val="28"/>
        </w:rPr>
        <w:t>повышение эффективности системы теплоснабжения;</w:t>
      </w:r>
    </w:p>
    <w:p w:rsidR="00981CA5" w:rsidRDefault="00AE101F" w:rsidP="00AE10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1F">
        <w:rPr>
          <w:rFonts w:ascii="Times New Roman" w:hAnsi="Times New Roman" w:cs="Times New Roman"/>
          <w:sz w:val="28"/>
          <w:szCs w:val="28"/>
        </w:rPr>
        <w:t>повышение эффекти</w:t>
      </w:r>
      <w:r>
        <w:rPr>
          <w:rFonts w:ascii="Times New Roman" w:hAnsi="Times New Roman" w:cs="Times New Roman"/>
          <w:sz w:val="28"/>
          <w:szCs w:val="28"/>
        </w:rPr>
        <w:t>вности системы электроснабжения;</w:t>
      </w:r>
    </w:p>
    <w:p w:rsidR="00AE101F" w:rsidRPr="00AE101F" w:rsidRDefault="00AE101F" w:rsidP="00AE10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1F">
        <w:rPr>
          <w:rFonts w:ascii="Times New Roman" w:hAnsi="Times New Roman" w:cs="Times New Roman"/>
          <w:sz w:val="28"/>
          <w:szCs w:val="28"/>
        </w:rPr>
        <w:t>повышение эффекти</w:t>
      </w:r>
      <w:r>
        <w:rPr>
          <w:rFonts w:ascii="Times New Roman" w:hAnsi="Times New Roman" w:cs="Times New Roman"/>
          <w:sz w:val="28"/>
          <w:szCs w:val="28"/>
        </w:rPr>
        <w:t>вности системы водоснабжения.</w:t>
      </w:r>
    </w:p>
    <w:p w:rsidR="00AC2517" w:rsidRPr="000844E1" w:rsidRDefault="00AC2517" w:rsidP="0031239C">
      <w:pPr>
        <w:pStyle w:val="2"/>
        <w:jc w:val="center"/>
        <w:rPr>
          <w:rFonts w:cs="Times New Roman"/>
        </w:rPr>
      </w:pPr>
      <w:bookmarkStart w:id="8" w:name="_Toc57976365"/>
      <w:r w:rsidRPr="000844E1">
        <w:rPr>
          <w:rFonts w:cs="Times New Roman"/>
        </w:rPr>
        <w:t>3. Сроки и этапы реализации Программы</w:t>
      </w:r>
      <w:bookmarkEnd w:id="8"/>
    </w:p>
    <w:p w:rsidR="00DC7F05" w:rsidRPr="000844E1" w:rsidRDefault="00DC7F05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FA2" w:rsidRPr="000844E1" w:rsidRDefault="00DC7F05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tab/>
      </w:r>
      <w:r w:rsidR="00AC2517" w:rsidRPr="000844E1">
        <w:rPr>
          <w:rFonts w:ascii="Times New Roman" w:hAnsi="Times New Roman" w:cs="Times New Roman"/>
          <w:sz w:val="28"/>
          <w:szCs w:val="28"/>
        </w:rPr>
        <w:t>Про</w:t>
      </w:r>
      <w:r w:rsidR="00C34B0D">
        <w:rPr>
          <w:rFonts w:ascii="Times New Roman" w:hAnsi="Times New Roman" w:cs="Times New Roman"/>
          <w:sz w:val="28"/>
          <w:szCs w:val="28"/>
        </w:rPr>
        <w:t>грамма рассчитана на период 2024</w:t>
      </w:r>
      <w:r w:rsidR="00AC2517" w:rsidRPr="000844E1">
        <w:rPr>
          <w:rFonts w:ascii="Times New Roman" w:hAnsi="Times New Roman" w:cs="Times New Roman"/>
          <w:sz w:val="28"/>
          <w:szCs w:val="28"/>
        </w:rPr>
        <w:t xml:space="preserve"> – 202</w:t>
      </w:r>
      <w:r w:rsidR="00C34B0D">
        <w:rPr>
          <w:rFonts w:ascii="Times New Roman" w:hAnsi="Times New Roman" w:cs="Times New Roman"/>
          <w:sz w:val="28"/>
          <w:szCs w:val="28"/>
        </w:rPr>
        <w:t>6</w:t>
      </w:r>
      <w:r w:rsidR="00AC2517" w:rsidRPr="000844E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30EAB" w:rsidRDefault="00DC7F05" w:rsidP="0007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101F">
        <w:rPr>
          <w:rFonts w:ascii="Times New Roman" w:hAnsi="Times New Roman" w:cs="Times New Roman"/>
          <w:sz w:val="28"/>
          <w:szCs w:val="28"/>
        </w:rPr>
        <w:t>Конкретные мероприятия для реализации программы по энергосбережению и повышению энергетической эффективности</w:t>
      </w:r>
      <w:r w:rsidR="00230EAB">
        <w:rPr>
          <w:rFonts w:ascii="Times New Roman" w:hAnsi="Times New Roman" w:cs="Times New Roman"/>
          <w:sz w:val="28"/>
          <w:szCs w:val="28"/>
        </w:rPr>
        <w:t xml:space="preserve"> представлены в разделе 5. </w:t>
      </w:r>
    </w:p>
    <w:p w:rsidR="00B56FA7" w:rsidRPr="000844E1" w:rsidRDefault="00230EAB" w:rsidP="0007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мероприятия будут реализовываться постепенно в период срока установленной реализации программы.</w:t>
      </w:r>
      <w:r w:rsidR="00DC7F05" w:rsidRPr="000844E1">
        <w:rPr>
          <w:rFonts w:ascii="Times New Roman" w:hAnsi="Times New Roman" w:cs="Times New Roman"/>
          <w:sz w:val="28"/>
          <w:szCs w:val="28"/>
        </w:rPr>
        <w:tab/>
      </w:r>
    </w:p>
    <w:p w:rsidR="008263B9" w:rsidRPr="000844E1" w:rsidRDefault="008263B9" w:rsidP="00AC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3B9" w:rsidRPr="000844E1" w:rsidRDefault="008263B9" w:rsidP="0082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970687" w:rsidRPr="000844E1" w:rsidRDefault="00970687" w:rsidP="002E28AA">
      <w:pPr>
        <w:pStyle w:val="1"/>
        <w:jc w:val="center"/>
        <w:rPr>
          <w:rFonts w:cs="Times New Roman"/>
        </w:rPr>
      </w:pPr>
    </w:p>
    <w:p w:rsidR="00B63501" w:rsidRPr="000844E1" w:rsidRDefault="00B63501" w:rsidP="0082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0687" w:rsidRPr="000844E1" w:rsidRDefault="00B63501" w:rsidP="00B63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4E1">
        <w:rPr>
          <w:rFonts w:ascii="Times New Roman" w:hAnsi="Times New Roman" w:cs="Times New Roman"/>
          <w:sz w:val="26"/>
          <w:szCs w:val="26"/>
        </w:rPr>
        <w:tab/>
      </w:r>
    </w:p>
    <w:p w:rsidR="00970687" w:rsidRPr="000844E1" w:rsidRDefault="00970687" w:rsidP="00B63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687" w:rsidRPr="000844E1" w:rsidRDefault="00970687" w:rsidP="00970687">
      <w:pPr>
        <w:pStyle w:val="1"/>
        <w:jc w:val="center"/>
        <w:rPr>
          <w:rFonts w:cs="Times New Roman"/>
        </w:rPr>
        <w:sectPr w:rsidR="00970687" w:rsidRPr="00084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687" w:rsidRPr="000844E1" w:rsidRDefault="00970687" w:rsidP="00970687">
      <w:pPr>
        <w:pStyle w:val="1"/>
        <w:jc w:val="center"/>
        <w:rPr>
          <w:rFonts w:cs="Times New Roman"/>
        </w:rPr>
      </w:pPr>
      <w:bookmarkStart w:id="9" w:name="_Toc57976366"/>
      <w:r w:rsidRPr="000844E1">
        <w:rPr>
          <w:rFonts w:cs="Times New Roman"/>
        </w:rPr>
        <w:lastRenderedPageBreak/>
        <w:t>4. Целевые показатели</w:t>
      </w:r>
      <w:bookmarkEnd w:id="9"/>
    </w:p>
    <w:p w:rsidR="00970687" w:rsidRPr="000844E1" w:rsidRDefault="00970687" w:rsidP="00B63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501" w:rsidRPr="004516FB" w:rsidRDefault="00230EAB" w:rsidP="0045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501" w:rsidRPr="004516FB">
        <w:rPr>
          <w:rFonts w:ascii="Times New Roman" w:hAnsi="Times New Roman" w:cs="Times New Roman"/>
          <w:sz w:val="28"/>
          <w:szCs w:val="28"/>
        </w:rPr>
        <w:t>Перечень целевых показателей энергосбережения и повышения энергетической эффективности для мониторинга реализации программных мероприятий.</w:t>
      </w:r>
      <w:r w:rsidR="00FB1713" w:rsidRPr="004516FB">
        <w:rPr>
          <w:rFonts w:ascii="Times New Roman" w:hAnsi="Times New Roman" w:cs="Times New Roman"/>
          <w:sz w:val="28"/>
          <w:szCs w:val="28"/>
        </w:rPr>
        <w:t>*</w:t>
      </w:r>
    </w:p>
    <w:p w:rsidR="00FB1713" w:rsidRPr="004516FB" w:rsidRDefault="00FB1713" w:rsidP="0045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FB">
        <w:rPr>
          <w:rFonts w:ascii="Times New Roman" w:hAnsi="Times New Roman" w:cs="Times New Roman"/>
          <w:sz w:val="28"/>
          <w:szCs w:val="28"/>
        </w:rPr>
        <w:tab/>
      </w:r>
    </w:p>
    <w:p w:rsidR="002E28AA" w:rsidRPr="004516FB" w:rsidRDefault="002E28AA" w:rsidP="0045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27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512"/>
        <w:gridCol w:w="1034"/>
        <w:gridCol w:w="1388"/>
        <w:gridCol w:w="1223"/>
        <w:gridCol w:w="52"/>
        <w:gridCol w:w="1366"/>
        <w:gridCol w:w="1417"/>
        <w:gridCol w:w="1560"/>
      </w:tblGrid>
      <w:tr w:rsidR="00B63501" w:rsidRPr="004516FB" w:rsidTr="00E90109">
        <w:trPr>
          <w:trHeight w:val="820"/>
          <w:jc w:val="center"/>
        </w:trPr>
        <w:tc>
          <w:tcPr>
            <w:tcW w:w="575" w:type="dxa"/>
            <w:vMerge w:val="restart"/>
          </w:tcPr>
          <w:p w:rsidR="00B63501" w:rsidRPr="004516FB" w:rsidRDefault="00B63501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2" w:type="dxa"/>
            <w:vMerge w:val="restart"/>
          </w:tcPr>
          <w:p w:rsidR="00B63501" w:rsidRPr="004516FB" w:rsidRDefault="00B63501" w:rsidP="004516FB">
            <w:pPr>
              <w:pStyle w:val="Default"/>
              <w:jc w:val="both"/>
              <w:rPr>
                <w:b/>
              </w:rPr>
            </w:pPr>
            <w:r w:rsidRPr="004516FB">
              <w:rPr>
                <w:b/>
              </w:rPr>
              <w:t xml:space="preserve">Наименование </w:t>
            </w:r>
          </w:p>
          <w:p w:rsidR="00B63501" w:rsidRPr="004516FB" w:rsidRDefault="00B63501" w:rsidP="004516FB">
            <w:pPr>
              <w:pStyle w:val="Default"/>
              <w:jc w:val="both"/>
              <w:rPr>
                <w:b/>
              </w:rPr>
            </w:pPr>
            <w:r w:rsidRPr="004516FB">
              <w:rPr>
                <w:b/>
              </w:rPr>
              <w:t xml:space="preserve">индикаторов цели </w:t>
            </w:r>
          </w:p>
          <w:p w:rsidR="00B63501" w:rsidRPr="004516FB" w:rsidRDefault="00B63501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1034" w:type="dxa"/>
            <w:vMerge w:val="restart"/>
          </w:tcPr>
          <w:p w:rsidR="00B63501" w:rsidRPr="004516FB" w:rsidRDefault="00B63501" w:rsidP="004516FB">
            <w:pPr>
              <w:pStyle w:val="Default"/>
              <w:jc w:val="both"/>
              <w:rPr>
                <w:b/>
              </w:rPr>
            </w:pPr>
            <w:r w:rsidRPr="004516FB">
              <w:rPr>
                <w:b/>
              </w:rPr>
              <w:t xml:space="preserve">Ед. изм. </w:t>
            </w:r>
          </w:p>
          <w:p w:rsidR="00B63501" w:rsidRPr="004516FB" w:rsidRDefault="00B63501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6" w:type="dxa"/>
            <w:gridSpan w:val="6"/>
          </w:tcPr>
          <w:p w:rsidR="00B63501" w:rsidRPr="004516FB" w:rsidRDefault="00B63501" w:rsidP="004516FB">
            <w:pPr>
              <w:pStyle w:val="Default"/>
              <w:jc w:val="both"/>
              <w:rPr>
                <w:b/>
                <w:bCs/>
              </w:rPr>
            </w:pPr>
            <w:r w:rsidRPr="004516FB">
              <w:rPr>
                <w:b/>
              </w:rPr>
              <w:t xml:space="preserve">Значения индикаторов целей программы </w:t>
            </w:r>
          </w:p>
        </w:tc>
      </w:tr>
      <w:tr w:rsidR="00970687" w:rsidRPr="004516FB" w:rsidTr="00590BB0">
        <w:trPr>
          <w:trHeight w:val="285"/>
          <w:jc w:val="center"/>
        </w:trPr>
        <w:tc>
          <w:tcPr>
            <w:tcW w:w="575" w:type="dxa"/>
            <w:vMerge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FB1713" w:rsidRPr="004516FB" w:rsidRDefault="00FB1713" w:rsidP="004516FB">
            <w:pPr>
              <w:pStyle w:val="Default"/>
              <w:jc w:val="both"/>
            </w:pPr>
          </w:p>
        </w:tc>
        <w:tc>
          <w:tcPr>
            <w:tcW w:w="1034" w:type="dxa"/>
            <w:vMerge/>
          </w:tcPr>
          <w:p w:rsidR="00FB1713" w:rsidRPr="004516FB" w:rsidRDefault="00FB1713" w:rsidP="004516FB">
            <w:pPr>
              <w:pStyle w:val="Default"/>
              <w:jc w:val="both"/>
            </w:pPr>
          </w:p>
        </w:tc>
        <w:tc>
          <w:tcPr>
            <w:tcW w:w="1388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1713"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23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FB1713"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B1713"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FB1713"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B1713" w:rsidRPr="0045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63501" w:rsidRPr="004516FB" w:rsidTr="00E90109">
        <w:trPr>
          <w:jc w:val="center"/>
        </w:trPr>
        <w:tc>
          <w:tcPr>
            <w:tcW w:w="11127" w:type="dxa"/>
            <w:gridSpan w:val="9"/>
          </w:tcPr>
          <w:p w:rsidR="00B63501" w:rsidRPr="004516FB" w:rsidRDefault="00B63501" w:rsidP="004516FB">
            <w:pPr>
              <w:pStyle w:val="Default"/>
              <w:jc w:val="center"/>
            </w:pPr>
            <w:r w:rsidRPr="004516FB">
              <w:t>Потребление электрической энергии</w:t>
            </w:r>
          </w:p>
        </w:tc>
      </w:tr>
      <w:tr w:rsidR="00590BB0" w:rsidRPr="004516FB" w:rsidTr="00590BB0">
        <w:trPr>
          <w:trHeight w:val="167"/>
          <w:jc w:val="center"/>
        </w:trPr>
        <w:tc>
          <w:tcPr>
            <w:tcW w:w="575" w:type="dxa"/>
            <w:vMerge w:val="restart"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B1713" w:rsidRPr="004516FB" w:rsidRDefault="00FB1713" w:rsidP="004516FB">
            <w:pPr>
              <w:pStyle w:val="Default"/>
            </w:pPr>
            <w:r w:rsidRPr="004516FB">
              <w:t xml:space="preserve">в натуральном выражении </w:t>
            </w:r>
          </w:p>
        </w:tc>
        <w:tc>
          <w:tcPr>
            <w:tcW w:w="1034" w:type="dxa"/>
          </w:tcPr>
          <w:p w:rsidR="00FB1713" w:rsidRPr="004516FB" w:rsidRDefault="00FB1713" w:rsidP="004516FB">
            <w:pPr>
              <w:pStyle w:val="Default"/>
              <w:jc w:val="both"/>
            </w:pPr>
            <w:r w:rsidRPr="004516FB">
              <w:t>кВт*</w:t>
            </w:r>
            <w:proofErr w:type="gramStart"/>
            <w:r w:rsidRPr="004516FB">
              <w:t>ч</w:t>
            </w:r>
            <w:proofErr w:type="gramEnd"/>
          </w:p>
        </w:tc>
        <w:tc>
          <w:tcPr>
            <w:tcW w:w="1388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0BB0" w:rsidRPr="004516FB" w:rsidTr="00590BB0">
        <w:trPr>
          <w:trHeight w:val="134"/>
          <w:jc w:val="center"/>
        </w:trPr>
        <w:tc>
          <w:tcPr>
            <w:tcW w:w="575" w:type="dxa"/>
            <w:vMerge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:rsidR="00FB1713" w:rsidRPr="004516FB" w:rsidRDefault="00FB1713" w:rsidP="004516FB">
            <w:pPr>
              <w:pStyle w:val="Default"/>
            </w:pPr>
            <w:r w:rsidRPr="004516FB">
              <w:t xml:space="preserve">в стоимостном выражении </w:t>
            </w:r>
          </w:p>
        </w:tc>
        <w:tc>
          <w:tcPr>
            <w:tcW w:w="1034" w:type="dxa"/>
          </w:tcPr>
          <w:p w:rsidR="00FB1713" w:rsidRPr="004516FB" w:rsidRDefault="00FB1713" w:rsidP="004516FB">
            <w:pPr>
              <w:pStyle w:val="Default"/>
              <w:jc w:val="both"/>
            </w:pPr>
            <w:proofErr w:type="spellStart"/>
            <w:r w:rsidRPr="004516FB">
              <w:t>руб</w:t>
            </w:r>
            <w:proofErr w:type="spellEnd"/>
          </w:p>
        </w:tc>
        <w:tc>
          <w:tcPr>
            <w:tcW w:w="1388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1713" w:rsidRPr="004516FB" w:rsidTr="00E90109">
        <w:trPr>
          <w:jc w:val="center"/>
        </w:trPr>
        <w:tc>
          <w:tcPr>
            <w:tcW w:w="11127" w:type="dxa"/>
            <w:gridSpan w:val="9"/>
          </w:tcPr>
          <w:p w:rsidR="00FB1713" w:rsidRPr="004516FB" w:rsidRDefault="00FB1713" w:rsidP="004516FB">
            <w:pPr>
              <w:pStyle w:val="Default"/>
              <w:jc w:val="center"/>
            </w:pPr>
            <w:r w:rsidRPr="004516FB">
              <w:t>Потребление тепловой энергии</w:t>
            </w:r>
          </w:p>
        </w:tc>
      </w:tr>
      <w:tr w:rsidR="00FB1713" w:rsidRPr="004516FB" w:rsidTr="00590BB0">
        <w:trPr>
          <w:trHeight w:val="151"/>
          <w:jc w:val="center"/>
        </w:trPr>
        <w:tc>
          <w:tcPr>
            <w:tcW w:w="575" w:type="dxa"/>
            <w:vMerge w:val="restart"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FB1713" w:rsidRPr="004516FB" w:rsidRDefault="00FB1713" w:rsidP="004516FB">
            <w:pPr>
              <w:pStyle w:val="Default"/>
            </w:pPr>
            <w:r w:rsidRPr="004516FB">
              <w:t xml:space="preserve">в натуральном выражении </w:t>
            </w:r>
          </w:p>
        </w:tc>
        <w:tc>
          <w:tcPr>
            <w:tcW w:w="1034" w:type="dxa"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Куб.м.</w:t>
            </w:r>
          </w:p>
        </w:tc>
        <w:tc>
          <w:tcPr>
            <w:tcW w:w="1388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1713" w:rsidRPr="004516FB" w:rsidTr="00590BB0">
        <w:trPr>
          <w:trHeight w:val="167"/>
          <w:jc w:val="center"/>
        </w:trPr>
        <w:tc>
          <w:tcPr>
            <w:tcW w:w="575" w:type="dxa"/>
            <w:vMerge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:rsidR="00FB1713" w:rsidRPr="004516FB" w:rsidRDefault="00FB1713" w:rsidP="004516FB">
            <w:pPr>
              <w:pStyle w:val="Default"/>
            </w:pPr>
            <w:r w:rsidRPr="004516FB">
              <w:t xml:space="preserve">в стоимостном выражении </w:t>
            </w:r>
          </w:p>
        </w:tc>
        <w:tc>
          <w:tcPr>
            <w:tcW w:w="1034" w:type="dxa"/>
          </w:tcPr>
          <w:p w:rsidR="00FB1713" w:rsidRPr="004516FB" w:rsidRDefault="00FB1713" w:rsidP="004516FB">
            <w:pPr>
              <w:pStyle w:val="Default"/>
              <w:jc w:val="both"/>
            </w:pPr>
            <w:proofErr w:type="spellStart"/>
            <w:r w:rsidRPr="004516FB">
              <w:t>руб</w:t>
            </w:r>
            <w:proofErr w:type="spellEnd"/>
          </w:p>
        </w:tc>
        <w:tc>
          <w:tcPr>
            <w:tcW w:w="1388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1713" w:rsidRPr="004516FB" w:rsidTr="00E90109">
        <w:trPr>
          <w:jc w:val="center"/>
        </w:trPr>
        <w:tc>
          <w:tcPr>
            <w:tcW w:w="11127" w:type="dxa"/>
            <w:gridSpan w:val="9"/>
          </w:tcPr>
          <w:p w:rsidR="00FB1713" w:rsidRPr="004516FB" w:rsidRDefault="00FB1713" w:rsidP="004516FB">
            <w:pPr>
              <w:pStyle w:val="Default"/>
              <w:jc w:val="center"/>
            </w:pPr>
            <w:r w:rsidRPr="004516FB">
              <w:t xml:space="preserve">Потребление холодной воды </w:t>
            </w:r>
          </w:p>
        </w:tc>
      </w:tr>
      <w:tr w:rsidR="00FB1713" w:rsidRPr="004516FB" w:rsidTr="00590BB0">
        <w:trPr>
          <w:trHeight w:val="184"/>
          <w:jc w:val="center"/>
        </w:trPr>
        <w:tc>
          <w:tcPr>
            <w:tcW w:w="575" w:type="dxa"/>
            <w:vMerge w:val="restart"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FB1713" w:rsidRPr="004516FB" w:rsidRDefault="00FB1713" w:rsidP="004516FB">
            <w:pPr>
              <w:pStyle w:val="Default"/>
            </w:pPr>
            <w:r w:rsidRPr="004516FB">
              <w:t xml:space="preserve">в натуральном выражении </w:t>
            </w:r>
          </w:p>
        </w:tc>
        <w:tc>
          <w:tcPr>
            <w:tcW w:w="1034" w:type="dxa"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Куб</w:t>
            </w:r>
            <w:proofErr w:type="gramStart"/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8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1713" w:rsidRPr="000844E1" w:rsidTr="00590BB0">
        <w:trPr>
          <w:trHeight w:val="151"/>
          <w:jc w:val="center"/>
        </w:trPr>
        <w:tc>
          <w:tcPr>
            <w:tcW w:w="575" w:type="dxa"/>
            <w:vMerge/>
          </w:tcPr>
          <w:p w:rsidR="00FB1713" w:rsidRPr="004516FB" w:rsidRDefault="00FB1713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</w:tcPr>
          <w:p w:rsidR="00FB1713" w:rsidRPr="004516FB" w:rsidRDefault="00FB1713" w:rsidP="004516FB">
            <w:pPr>
              <w:pStyle w:val="Default"/>
            </w:pPr>
            <w:r w:rsidRPr="004516FB">
              <w:t xml:space="preserve">в стоимостном выражении </w:t>
            </w:r>
          </w:p>
        </w:tc>
        <w:tc>
          <w:tcPr>
            <w:tcW w:w="1034" w:type="dxa"/>
          </w:tcPr>
          <w:p w:rsidR="00FB1713" w:rsidRPr="004516FB" w:rsidRDefault="00FB1713" w:rsidP="004516FB">
            <w:pPr>
              <w:pStyle w:val="Default"/>
              <w:jc w:val="both"/>
            </w:pPr>
            <w:proofErr w:type="spellStart"/>
            <w:r w:rsidRPr="004516FB">
              <w:t>руб</w:t>
            </w:r>
            <w:proofErr w:type="spellEnd"/>
          </w:p>
        </w:tc>
        <w:tc>
          <w:tcPr>
            <w:tcW w:w="1388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1713" w:rsidRPr="004516FB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1713" w:rsidRPr="000844E1" w:rsidRDefault="004516FB" w:rsidP="00451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63501" w:rsidRPr="000844E1" w:rsidRDefault="00B63501" w:rsidP="00B63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3B9" w:rsidRPr="000844E1" w:rsidRDefault="00FB1713" w:rsidP="00970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44E1">
        <w:rPr>
          <w:rFonts w:ascii="Times New Roman" w:hAnsi="Times New Roman" w:cs="Times New Roman"/>
          <w:bCs/>
          <w:sz w:val="28"/>
          <w:szCs w:val="28"/>
        </w:rPr>
        <w:tab/>
      </w:r>
      <w:r w:rsidR="007042A7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№ 261, статьи 11 пункта 5,требования энергетической эффективности не распространяются на здания</w:t>
      </w:r>
      <w:proofErr w:type="gramStart"/>
      <w:r w:rsidR="007042A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042A7">
        <w:rPr>
          <w:rFonts w:ascii="Times New Roman" w:hAnsi="Times New Roman" w:cs="Times New Roman"/>
          <w:bCs/>
          <w:sz w:val="28"/>
          <w:szCs w:val="28"/>
        </w:rPr>
        <w:t xml:space="preserve"> строения, сооружения, которые в соответствии с законодательством РФ отнесены к объектам культурного наследия «Памятники истории и культуры».</w:t>
      </w:r>
    </w:p>
    <w:p w:rsidR="00970687" w:rsidRPr="000844E1" w:rsidRDefault="00970687" w:rsidP="0082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70687" w:rsidRPr="000844E1" w:rsidSect="009706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63B9" w:rsidRPr="000844E1" w:rsidRDefault="008263B9" w:rsidP="0082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09" w:rsidRPr="000844E1" w:rsidRDefault="002E28AA" w:rsidP="00075F09">
      <w:pPr>
        <w:pStyle w:val="1"/>
        <w:jc w:val="center"/>
        <w:rPr>
          <w:rFonts w:cs="Times New Roman"/>
        </w:rPr>
      </w:pPr>
      <w:bookmarkStart w:id="10" w:name="_Toc57976367"/>
      <w:r w:rsidRPr="000844E1">
        <w:rPr>
          <w:rFonts w:cs="Times New Roman"/>
        </w:rPr>
        <w:t>5</w:t>
      </w:r>
      <w:r w:rsidR="00075F09" w:rsidRPr="000844E1">
        <w:rPr>
          <w:rFonts w:cs="Times New Roman"/>
        </w:rPr>
        <w:t>. Мероприятия по энергосбережению и повышению энергетической эффективности</w:t>
      </w:r>
      <w:bookmarkEnd w:id="10"/>
    </w:p>
    <w:p w:rsidR="00075F09" w:rsidRPr="000844E1" w:rsidRDefault="00075F09" w:rsidP="0007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3B9" w:rsidRPr="000844E1" w:rsidRDefault="008263B9" w:rsidP="0082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48"/>
        <w:gridCol w:w="3607"/>
        <w:gridCol w:w="1701"/>
      </w:tblGrid>
      <w:tr w:rsidR="00364A5E" w:rsidRPr="000844E1" w:rsidTr="007B397F">
        <w:trPr>
          <w:trHeight w:val="540"/>
        </w:trPr>
        <w:tc>
          <w:tcPr>
            <w:tcW w:w="445" w:type="dxa"/>
            <w:vMerge w:val="restart"/>
          </w:tcPr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  <w:vMerge w:val="restart"/>
          </w:tcPr>
          <w:p w:rsidR="00364A5E" w:rsidRPr="000844E1" w:rsidRDefault="00364A5E" w:rsidP="007B397F">
            <w:pPr>
              <w:pStyle w:val="Default"/>
            </w:pPr>
            <w:r w:rsidRPr="000844E1">
              <w:t xml:space="preserve">Наименование и (или) </w:t>
            </w:r>
          </w:p>
          <w:p w:rsidR="00364A5E" w:rsidRPr="000844E1" w:rsidRDefault="00364A5E" w:rsidP="007B397F">
            <w:pPr>
              <w:pStyle w:val="Default"/>
            </w:pPr>
            <w:r w:rsidRPr="000844E1">
              <w:t xml:space="preserve">описание </w:t>
            </w:r>
            <w:proofErr w:type="gramStart"/>
            <w:r w:rsidRPr="000844E1">
              <w:t>рекомендуемого</w:t>
            </w:r>
            <w:proofErr w:type="gramEnd"/>
          </w:p>
          <w:p w:rsidR="00364A5E" w:rsidRPr="000844E1" w:rsidRDefault="00364A5E" w:rsidP="007B397F">
            <w:pPr>
              <w:pStyle w:val="Default"/>
            </w:pPr>
            <w:proofErr w:type="spellStart"/>
            <w:r w:rsidRPr="000844E1">
              <w:t>энергоресурсосберегающего</w:t>
            </w:r>
            <w:proofErr w:type="spellEnd"/>
          </w:p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308" w:type="dxa"/>
            <w:gridSpan w:val="2"/>
          </w:tcPr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Ресурсы для выполнения мероприятий программы</w:t>
            </w:r>
          </w:p>
        </w:tc>
      </w:tr>
      <w:tr w:rsidR="00364A5E" w:rsidRPr="000844E1" w:rsidTr="007B397F">
        <w:trPr>
          <w:trHeight w:val="435"/>
        </w:trPr>
        <w:tc>
          <w:tcPr>
            <w:tcW w:w="445" w:type="dxa"/>
            <w:vMerge/>
          </w:tcPr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364A5E" w:rsidRPr="000844E1" w:rsidRDefault="00364A5E" w:rsidP="007B397F">
            <w:pPr>
              <w:pStyle w:val="Default"/>
            </w:pPr>
          </w:p>
        </w:tc>
        <w:tc>
          <w:tcPr>
            <w:tcW w:w="3607" w:type="dxa"/>
          </w:tcPr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1701" w:type="dxa"/>
          </w:tcPr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364A5E" w:rsidRPr="000844E1" w:rsidTr="007B397F">
        <w:tc>
          <w:tcPr>
            <w:tcW w:w="445" w:type="dxa"/>
          </w:tcPr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364A5E" w:rsidRPr="000844E1" w:rsidRDefault="00364A5E" w:rsidP="007B397F">
            <w:pPr>
              <w:pStyle w:val="Default"/>
            </w:pPr>
            <w:proofErr w:type="gramStart"/>
            <w:r w:rsidRPr="000844E1">
              <w:t>Обучение ответственного лица по программе</w:t>
            </w:r>
            <w:proofErr w:type="gramEnd"/>
            <w:r w:rsidRPr="000844E1">
              <w:t xml:space="preserve"> "Обеспечение мероприятий по энергосбережению и повышению </w:t>
            </w:r>
            <w:proofErr w:type="spellStart"/>
            <w:r w:rsidRPr="000844E1">
              <w:t>энергоэффективности</w:t>
            </w:r>
            <w:proofErr w:type="spellEnd"/>
            <w:r w:rsidRPr="000844E1">
              <w:t xml:space="preserve">" </w:t>
            </w:r>
          </w:p>
        </w:tc>
        <w:tc>
          <w:tcPr>
            <w:tcW w:w="3607" w:type="dxa"/>
          </w:tcPr>
          <w:p w:rsidR="00364A5E" w:rsidRPr="000844E1" w:rsidRDefault="00364A5E" w:rsidP="007B397F">
            <w:pPr>
              <w:pStyle w:val="Default"/>
            </w:pPr>
            <w:r w:rsidRPr="000844E1">
              <w:t xml:space="preserve">Организационное мероприятие </w:t>
            </w:r>
          </w:p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A5E" w:rsidRPr="000844E1" w:rsidRDefault="005C789C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4A5E" w:rsidRPr="000844E1" w:rsidTr="007B397F">
        <w:tc>
          <w:tcPr>
            <w:tcW w:w="445" w:type="dxa"/>
          </w:tcPr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5C789C" w:rsidRPr="005C789C" w:rsidRDefault="005C789C" w:rsidP="005C789C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C78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Снятие декоративных ограждений с радиаторов отопления</w:t>
            </w:r>
          </w:p>
          <w:p w:rsidR="00364A5E" w:rsidRPr="005C789C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07" w:type="dxa"/>
          </w:tcPr>
          <w:p w:rsidR="00364A5E" w:rsidRPr="005C789C" w:rsidRDefault="005C789C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C78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Техническое мероприятие</w:t>
            </w:r>
          </w:p>
        </w:tc>
        <w:tc>
          <w:tcPr>
            <w:tcW w:w="1701" w:type="dxa"/>
          </w:tcPr>
          <w:p w:rsidR="00364A5E" w:rsidRPr="000844E1" w:rsidRDefault="005C789C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11A" w:rsidRPr="000844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64A5E" w:rsidRPr="000844E1" w:rsidTr="007B397F">
        <w:tc>
          <w:tcPr>
            <w:tcW w:w="445" w:type="dxa"/>
          </w:tcPr>
          <w:p w:rsidR="00364A5E" w:rsidRPr="000844E1" w:rsidRDefault="005C789C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364A5E" w:rsidRPr="000844E1" w:rsidRDefault="007B397F" w:rsidP="007B397F">
            <w:pPr>
              <w:pStyle w:val="Default"/>
              <w:rPr>
                <w:sz w:val="23"/>
                <w:szCs w:val="23"/>
              </w:rPr>
            </w:pPr>
            <w:r w:rsidRPr="000844E1">
              <w:rPr>
                <w:sz w:val="23"/>
                <w:szCs w:val="23"/>
              </w:rPr>
              <w:t xml:space="preserve">Корректировка программы, в том числе значений показателей энергосбережения и повышения энергетической эффективности </w:t>
            </w:r>
          </w:p>
        </w:tc>
        <w:tc>
          <w:tcPr>
            <w:tcW w:w="3607" w:type="dxa"/>
          </w:tcPr>
          <w:p w:rsidR="007B397F" w:rsidRPr="000844E1" w:rsidRDefault="007B397F" w:rsidP="007B397F">
            <w:pPr>
              <w:pStyle w:val="Default"/>
            </w:pPr>
            <w:r w:rsidRPr="000844E1">
              <w:t xml:space="preserve">Организационное мероприятие </w:t>
            </w:r>
          </w:p>
          <w:p w:rsidR="00364A5E" w:rsidRPr="000844E1" w:rsidRDefault="00364A5E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A5E" w:rsidRPr="000844E1" w:rsidRDefault="007B397F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89C" w:rsidRPr="000844E1" w:rsidTr="007B397F">
        <w:tc>
          <w:tcPr>
            <w:tcW w:w="445" w:type="dxa"/>
          </w:tcPr>
          <w:p w:rsidR="005C789C" w:rsidRDefault="005C789C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5C789C" w:rsidRPr="005C789C" w:rsidRDefault="005C789C" w:rsidP="005C789C">
            <w:pPr>
              <w:pStyle w:val="Default"/>
            </w:pPr>
            <w:r w:rsidRPr="005C789C">
              <w:t>Совершенствование порядка работы учреждения и оптимизация работы систем освещения, вентиляции, водоснабжения</w:t>
            </w:r>
          </w:p>
          <w:p w:rsidR="005C789C" w:rsidRPr="000844E1" w:rsidRDefault="005C789C" w:rsidP="007B39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7" w:type="dxa"/>
          </w:tcPr>
          <w:p w:rsidR="005C789C" w:rsidRPr="000844E1" w:rsidRDefault="005C789C" w:rsidP="00D157E0">
            <w:pPr>
              <w:pStyle w:val="Default"/>
            </w:pPr>
            <w:r w:rsidRPr="000844E1">
              <w:t xml:space="preserve">Организационное мероприятие </w:t>
            </w:r>
          </w:p>
          <w:p w:rsidR="005C789C" w:rsidRPr="000844E1" w:rsidRDefault="005C789C" w:rsidP="00D1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89C" w:rsidRPr="000844E1" w:rsidRDefault="005C789C" w:rsidP="00D1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89C" w:rsidRPr="000844E1" w:rsidTr="007B397F">
        <w:tc>
          <w:tcPr>
            <w:tcW w:w="445" w:type="dxa"/>
          </w:tcPr>
          <w:p w:rsidR="005C789C" w:rsidRDefault="005C789C" w:rsidP="007B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5C789C" w:rsidRPr="005C789C" w:rsidRDefault="005C789C" w:rsidP="005C789C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 учащимися и сотрудниками по вопросам энергосбережения</w:t>
            </w:r>
          </w:p>
          <w:p w:rsidR="005C789C" w:rsidRPr="005C789C" w:rsidRDefault="005C789C" w:rsidP="005C789C">
            <w:pPr>
              <w:pStyle w:val="Default"/>
            </w:pPr>
          </w:p>
        </w:tc>
        <w:tc>
          <w:tcPr>
            <w:tcW w:w="3607" w:type="dxa"/>
          </w:tcPr>
          <w:p w:rsidR="005C789C" w:rsidRPr="000844E1" w:rsidRDefault="005C789C" w:rsidP="00D157E0">
            <w:pPr>
              <w:pStyle w:val="Default"/>
            </w:pPr>
            <w:r w:rsidRPr="000844E1">
              <w:t xml:space="preserve">Организационное мероприятие </w:t>
            </w:r>
          </w:p>
          <w:p w:rsidR="005C789C" w:rsidRPr="000844E1" w:rsidRDefault="005C789C" w:rsidP="00D1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89C" w:rsidRPr="000844E1" w:rsidRDefault="005C789C" w:rsidP="00D15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64A5E" w:rsidRPr="000844E1" w:rsidRDefault="00364A5E" w:rsidP="0082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64A5E" w:rsidRPr="000844E1" w:rsidSect="00D86E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63B9" w:rsidRPr="000844E1" w:rsidRDefault="00153E34" w:rsidP="00153E34">
      <w:pPr>
        <w:pStyle w:val="1"/>
        <w:rPr>
          <w:rFonts w:cs="Times New Roman"/>
        </w:rPr>
      </w:pPr>
      <w:bookmarkStart w:id="11" w:name="_Toc57976368"/>
      <w:r w:rsidRPr="000844E1">
        <w:rPr>
          <w:rFonts w:cs="Times New Roman"/>
        </w:rPr>
        <w:lastRenderedPageBreak/>
        <w:t>6. Экономия энергетических ресурсов в разрезе мероприятий программы</w:t>
      </w:r>
      <w:bookmarkEnd w:id="11"/>
    </w:p>
    <w:p w:rsidR="001372B7" w:rsidRPr="000844E1" w:rsidRDefault="001372B7" w:rsidP="001372B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45"/>
        <w:gridCol w:w="3098"/>
        <w:gridCol w:w="1927"/>
        <w:gridCol w:w="1292"/>
        <w:gridCol w:w="1217"/>
        <w:gridCol w:w="2050"/>
      </w:tblGrid>
      <w:tr w:rsidR="001372B7" w:rsidRPr="000844E1" w:rsidTr="00F351DF">
        <w:trPr>
          <w:trHeight w:val="602"/>
        </w:trPr>
        <w:tc>
          <w:tcPr>
            <w:tcW w:w="445" w:type="dxa"/>
            <w:vMerge w:val="restart"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8" w:type="dxa"/>
            <w:vMerge w:val="restart"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86" w:type="dxa"/>
            <w:gridSpan w:val="4"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годовом изменении потребления (потерь)</w:t>
            </w:r>
          </w:p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энергетических ресурсов и воды</w:t>
            </w:r>
          </w:p>
        </w:tc>
      </w:tr>
      <w:tr w:rsidR="001372B7" w:rsidRPr="000844E1" w:rsidTr="00F351DF">
        <w:trPr>
          <w:trHeight w:val="167"/>
        </w:trPr>
        <w:tc>
          <w:tcPr>
            <w:tcW w:w="445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4559" w:type="dxa"/>
            <w:gridSpan w:val="3"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Планируемое годовое изменение</w:t>
            </w:r>
          </w:p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потребления (потерь) энергетических ресурсов и воды</w:t>
            </w:r>
          </w:p>
        </w:tc>
      </w:tr>
      <w:tr w:rsidR="001372B7" w:rsidRPr="000844E1" w:rsidTr="00F351DF">
        <w:trPr>
          <w:trHeight w:val="167"/>
        </w:trPr>
        <w:tc>
          <w:tcPr>
            <w:tcW w:w="445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(энергетическом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0" w:type="dxa"/>
            <w:vMerge w:val="restart"/>
          </w:tcPr>
          <w:p w:rsidR="001372B7" w:rsidRPr="000844E1" w:rsidRDefault="001372B7" w:rsidP="001372B7">
            <w:pPr>
              <w:pStyle w:val="Default"/>
            </w:pPr>
            <w:r w:rsidRPr="000844E1">
              <w:t xml:space="preserve">в стоимостном выражении, </w:t>
            </w:r>
          </w:p>
          <w:p w:rsidR="001372B7" w:rsidRPr="000844E1" w:rsidRDefault="001372B7" w:rsidP="001372B7">
            <w:pPr>
              <w:pStyle w:val="Default"/>
            </w:pPr>
            <w:proofErr w:type="gramStart"/>
            <w:r w:rsidRPr="000844E1">
              <w:t>тыс. руб</w:t>
            </w:r>
            <w:r w:rsidR="00AE5310" w:rsidRPr="000844E1">
              <w:t xml:space="preserve">. (в ценах на момент </w:t>
            </w:r>
            <w:r w:rsidRPr="000844E1">
              <w:t xml:space="preserve">составления </w:t>
            </w:r>
            <w:proofErr w:type="gramEnd"/>
          </w:p>
          <w:p w:rsidR="001372B7" w:rsidRPr="000844E1" w:rsidRDefault="00AE5310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372B7"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372B7" w:rsidRPr="000844E1" w:rsidTr="00F351DF">
        <w:trPr>
          <w:trHeight w:val="100"/>
        </w:trPr>
        <w:tc>
          <w:tcPr>
            <w:tcW w:w="445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372B7" w:rsidRPr="000844E1" w:rsidRDefault="00AE5310" w:rsidP="001372B7">
            <w:pPr>
              <w:pStyle w:val="Default"/>
            </w:pPr>
            <w:r w:rsidRPr="000844E1">
              <w:t>Е</w:t>
            </w:r>
            <w:r w:rsidR="001372B7" w:rsidRPr="000844E1">
              <w:t xml:space="preserve">диница </w:t>
            </w:r>
          </w:p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217" w:type="dxa"/>
          </w:tcPr>
          <w:p w:rsidR="001372B7" w:rsidRPr="000844E1" w:rsidRDefault="00AE5310" w:rsidP="001372B7">
            <w:pPr>
              <w:pStyle w:val="Default"/>
            </w:pPr>
            <w:r w:rsidRPr="000844E1">
              <w:t>З</w:t>
            </w:r>
            <w:r w:rsidR="001372B7" w:rsidRPr="000844E1">
              <w:t xml:space="preserve">начение </w:t>
            </w:r>
          </w:p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1372B7" w:rsidRPr="000844E1" w:rsidRDefault="001372B7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DF" w:rsidRPr="000844E1" w:rsidTr="00F351DF">
        <w:tc>
          <w:tcPr>
            <w:tcW w:w="445" w:type="dxa"/>
          </w:tcPr>
          <w:p w:rsidR="00F351DF" w:rsidRPr="000844E1" w:rsidRDefault="00F351DF" w:rsidP="00F3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F351DF" w:rsidRPr="000844E1" w:rsidRDefault="00F351DF" w:rsidP="00FC1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Замена ртутных (люминесцентных) ламп на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</w:p>
        </w:tc>
        <w:tc>
          <w:tcPr>
            <w:tcW w:w="1927" w:type="dxa"/>
          </w:tcPr>
          <w:p w:rsidR="00F351DF" w:rsidRPr="000844E1" w:rsidRDefault="00F351DF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92" w:type="dxa"/>
          </w:tcPr>
          <w:p w:rsidR="00F351DF" w:rsidRPr="000844E1" w:rsidRDefault="00F351DF" w:rsidP="00F351DF">
            <w:pPr>
              <w:pStyle w:val="Default"/>
              <w:rPr>
                <w:sz w:val="23"/>
                <w:szCs w:val="23"/>
              </w:rPr>
            </w:pPr>
            <w:r w:rsidRPr="000844E1">
              <w:rPr>
                <w:sz w:val="23"/>
                <w:szCs w:val="23"/>
              </w:rPr>
              <w:t>тыс. кВт•</w:t>
            </w:r>
            <w:proofErr w:type="gramStart"/>
            <w:r w:rsidRPr="000844E1">
              <w:rPr>
                <w:sz w:val="23"/>
                <w:szCs w:val="23"/>
              </w:rPr>
              <w:t>ч</w:t>
            </w:r>
            <w:proofErr w:type="gramEnd"/>
          </w:p>
          <w:p w:rsidR="00F351DF" w:rsidRPr="000844E1" w:rsidRDefault="00F351DF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1DF" w:rsidRPr="000844E1" w:rsidTr="00F351DF">
        <w:tc>
          <w:tcPr>
            <w:tcW w:w="445" w:type="dxa"/>
          </w:tcPr>
          <w:p w:rsidR="00F351DF" w:rsidRPr="000844E1" w:rsidRDefault="00F351DF" w:rsidP="00F3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F351DF" w:rsidRPr="000844E1" w:rsidRDefault="00F351DF" w:rsidP="00FC1E5C">
            <w:pPr>
              <w:pStyle w:val="Default"/>
              <w:rPr>
                <w:sz w:val="23"/>
                <w:szCs w:val="23"/>
              </w:rPr>
            </w:pPr>
            <w:r w:rsidRPr="000844E1">
              <w:rPr>
                <w:sz w:val="23"/>
                <w:szCs w:val="23"/>
              </w:rPr>
              <w:t xml:space="preserve">Замена ламп накаливания на энергосберегающие лампы. </w:t>
            </w:r>
          </w:p>
        </w:tc>
        <w:tc>
          <w:tcPr>
            <w:tcW w:w="1927" w:type="dxa"/>
          </w:tcPr>
          <w:p w:rsidR="00F351DF" w:rsidRPr="000844E1" w:rsidRDefault="00F351DF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92" w:type="dxa"/>
          </w:tcPr>
          <w:p w:rsidR="00F351DF" w:rsidRPr="000844E1" w:rsidRDefault="00F351DF" w:rsidP="00F351DF">
            <w:pPr>
              <w:pStyle w:val="Default"/>
              <w:rPr>
                <w:sz w:val="23"/>
                <w:szCs w:val="23"/>
              </w:rPr>
            </w:pPr>
            <w:r w:rsidRPr="000844E1">
              <w:rPr>
                <w:sz w:val="23"/>
                <w:szCs w:val="23"/>
              </w:rPr>
              <w:t>тыс. кВт•</w:t>
            </w:r>
            <w:proofErr w:type="gramStart"/>
            <w:r w:rsidRPr="000844E1">
              <w:rPr>
                <w:sz w:val="23"/>
                <w:szCs w:val="23"/>
              </w:rPr>
              <w:t>ч</w:t>
            </w:r>
            <w:proofErr w:type="gramEnd"/>
          </w:p>
          <w:p w:rsidR="00F351DF" w:rsidRPr="000844E1" w:rsidRDefault="00F351DF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1DF" w:rsidRPr="000844E1" w:rsidTr="00F351DF">
        <w:tc>
          <w:tcPr>
            <w:tcW w:w="445" w:type="dxa"/>
          </w:tcPr>
          <w:p w:rsidR="00F351DF" w:rsidRPr="000844E1" w:rsidRDefault="00F351DF" w:rsidP="00F3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F351DF" w:rsidRPr="000844E1" w:rsidRDefault="00F351DF" w:rsidP="00FC1E5C">
            <w:pPr>
              <w:pStyle w:val="Default"/>
              <w:rPr>
                <w:sz w:val="23"/>
                <w:szCs w:val="23"/>
              </w:rPr>
            </w:pPr>
            <w:r w:rsidRPr="000844E1">
              <w:rPr>
                <w:sz w:val="23"/>
                <w:szCs w:val="23"/>
              </w:rPr>
              <w:t xml:space="preserve">Установка теплоотражающих экранов за отопительными приборами </w:t>
            </w:r>
          </w:p>
        </w:tc>
        <w:tc>
          <w:tcPr>
            <w:tcW w:w="1927" w:type="dxa"/>
          </w:tcPr>
          <w:p w:rsidR="00F351DF" w:rsidRPr="000844E1" w:rsidRDefault="00F351DF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92" w:type="dxa"/>
          </w:tcPr>
          <w:p w:rsidR="00F351DF" w:rsidRPr="000844E1" w:rsidRDefault="00CB2665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17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1DF" w:rsidRPr="000844E1" w:rsidTr="00F351DF">
        <w:tc>
          <w:tcPr>
            <w:tcW w:w="445" w:type="dxa"/>
          </w:tcPr>
          <w:p w:rsidR="00F351DF" w:rsidRPr="000844E1" w:rsidRDefault="00F351DF" w:rsidP="00F3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F351DF" w:rsidRPr="000844E1" w:rsidRDefault="00F351DF" w:rsidP="00F35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</w:t>
            </w:r>
          </w:p>
          <w:p w:rsidR="00F351DF" w:rsidRPr="000844E1" w:rsidRDefault="00F351DF" w:rsidP="00F35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proofErr w:type="gram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оконных</w:t>
            </w:r>
            <w:proofErr w:type="gram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351DF" w:rsidRPr="000844E1" w:rsidRDefault="00F351DF" w:rsidP="00F351DF">
            <w:pPr>
              <w:pStyle w:val="Default"/>
              <w:rPr>
                <w:sz w:val="23"/>
                <w:szCs w:val="23"/>
              </w:rPr>
            </w:pPr>
            <w:r w:rsidRPr="000844E1">
              <w:t>входных дверных блоков;</w:t>
            </w:r>
          </w:p>
        </w:tc>
        <w:tc>
          <w:tcPr>
            <w:tcW w:w="1927" w:type="dxa"/>
          </w:tcPr>
          <w:p w:rsidR="00F351DF" w:rsidRPr="000844E1" w:rsidRDefault="00F351DF" w:rsidP="00F3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</w:t>
            </w:r>
          </w:p>
        </w:tc>
        <w:tc>
          <w:tcPr>
            <w:tcW w:w="1292" w:type="dxa"/>
          </w:tcPr>
          <w:p w:rsidR="00F351DF" w:rsidRPr="000844E1" w:rsidRDefault="00CB2665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17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1DF" w:rsidRPr="000844E1" w:rsidTr="00F351DF">
        <w:tc>
          <w:tcPr>
            <w:tcW w:w="445" w:type="dxa"/>
          </w:tcPr>
          <w:p w:rsidR="00F351DF" w:rsidRPr="000844E1" w:rsidRDefault="00F351DF" w:rsidP="00F3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F351DF" w:rsidRPr="000844E1" w:rsidRDefault="00F351DF" w:rsidP="00F35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водосберегающей</w:t>
            </w:r>
            <w:proofErr w:type="spellEnd"/>
            <w:r w:rsidRPr="000844E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санитарно-технической арматуры.</w:t>
            </w:r>
          </w:p>
        </w:tc>
        <w:tc>
          <w:tcPr>
            <w:tcW w:w="1927" w:type="dxa"/>
          </w:tcPr>
          <w:p w:rsidR="00F351DF" w:rsidRPr="000844E1" w:rsidRDefault="00F351DF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92" w:type="dxa"/>
          </w:tcPr>
          <w:p w:rsidR="00F351DF" w:rsidRPr="000844E1" w:rsidRDefault="00CB2665" w:rsidP="00C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E1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1217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F351DF" w:rsidRPr="000844E1" w:rsidRDefault="00002C7D" w:rsidP="001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72B7" w:rsidRPr="000844E1" w:rsidRDefault="001372B7" w:rsidP="001372B7">
      <w:pPr>
        <w:rPr>
          <w:rFonts w:ascii="Times New Roman" w:hAnsi="Times New Roman" w:cs="Times New Roman"/>
        </w:rPr>
      </w:pPr>
    </w:p>
    <w:p w:rsidR="00CB2665" w:rsidRPr="000844E1" w:rsidRDefault="00CB2665" w:rsidP="001372B7">
      <w:pPr>
        <w:rPr>
          <w:rFonts w:ascii="Times New Roman" w:hAnsi="Times New Roman" w:cs="Times New Roman"/>
        </w:rPr>
      </w:pPr>
    </w:p>
    <w:p w:rsidR="00CB2665" w:rsidRPr="000844E1" w:rsidRDefault="00CB2665" w:rsidP="00CB2665">
      <w:pPr>
        <w:pStyle w:val="1"/>
        <w:jc w:val="center"/>
        <w:rPr>
          <w:rFonts w:cs="Times New Roman"/>
        </w:rPr>
      </w:pPr>
      <w:bookmarkStart w:id="12" w:name="_Toc57976369"/>
      <w:r w:rsidRPr="000844E1">
        <w:rPr>
          <w:rFonts w:cs="Times New Roman"/>
        </w:rPr>
        <w:t>7. Ожидаемые результаты</w:t>
      </w:r>
      <w:bookmarkEnd w:id="12"/>
    </w:p>
    <w:p w:rsidR="00CB2665" w:rsidRPr="000844E1" w:rsidRDefault="00CB2665" w:rsidP="00CB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B2665" w:rsidRPr="000844E1" w:rsidRDefault="00CB2665" w:rsidP="00CB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 итогам реализации Программы прогнозируется достижение следующих основных результатов: </w:t>
      </w:r>
    </w:p>
    <w:p w:rsidR="00CB2665" w:rsidRPr="000844E1" w:rsidRDefault="00CB2665" w:rsidP="00B027C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надежной и бесперебойной работы системы энергоснабжения; </w:t>
      </w:r>
    </w:p>
    <w:p w:rsidR="00CB2665" w:rsidRPr="000844E1" w:rsidRDefault="00CB2665" w:rsidP="00B027C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>снижение расходов на коммунальные услуги и энергетические ресур</w:t>
      </w:r>
      <w:r w:rsidR="00C34B0D">
        <w:rPr>
          <w:rFonts w:ascii="Times New Roman" w:hAnsi="Times New Roman" w:cs="Times New Roman"/>
          <w:color w:val="000000"/>
          <w:sz w:val="26"/>
          <w:szCs w:val="26"/>
        </w:rPr>
        <w:t>сы за период 2024-2026</w:t>
      </w:r>
      <w:r w:rsidR="003D7B8C"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 г. г. не менее чем на 10</w:t>
      </w:r>
      <w:r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%; </w:t>
      </w:r>
    </w:p>
    <w:p w:rsidR="00CB2665" w:rsidRPr="000844E1" w:rsidRDefault="00CB2665" w:rsidP="00B027C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снижение удельных показателей потребления энергетических ресурсов; </w:t>
      </w:r>
    </w:p>
    <w:p w:rsidR="00CB2665" w:rsidRPr="000844E1" w:rsidRDefault="00CB2665" w:rsidP="00B027C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использование энергосберегающих технологий, а также оборудования и материалов высокого класса энергетической эффективности; </w:t>
      </w:r>
    </w:p>
    <w:p w:rsidR="00CB2665" w:rsidRPr="000844E1" w:rsidRDefault="00CB2665" w:rsidP="00B027C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стимулирование энергосберегающего поведения работников. </w:t>
      </w:r>
    </w:p>
    <w:p w:rsidR="00CB2665" w:rsidRPr="000844E1" w:rsidRDefault="00B027C4" w:rsidP="00CB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CB2665"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Программы также обеспечит высвобождение дополнительных финансовых средств на реализацию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CB2665" w:rsidRPr="000844E1" w:rsidRDefault="00B027C4" w:rsidP="00CB266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B2665" w:rsidRPr="000844E1">
        <w:rPr>
          <w:rFonts w:ascii="Times New Roman" w:hAnsi="Times New Roman" w:cs="Times New Roman"/>
          <w:color w:val="000000"/>
          <w:sz w:val="26"/>
          <w:szCs w:val="26"/>
        </w:rPr>
        <w:t>Экономия энергетических ресурсов от внедрения мероприятий по энергосбережению и повышению энергетической эффективности мероприятий Программы в ст</w:t>
      </w:r>
      <w:r w:rsidR="003D7B8C"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оимостном выражении составит  </w:t>
      </w:r>
      <w:r w:rsidR="00002C7D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="00CB2665" w:rsidRPr="000844E1">
        <w:rPr>
          <w:rFonts w:ascii="Times New Roman" w:hAnsi="Times New Roman" w:cs="Times New Roman"/>
          <w:color w:val="000000"/>
          <w:sz w:val="26"/>
          <w:szCs w:val="26"/>
        </w:rPr>
        <w:t>тыс. рублей (в текущих</w:t>
      </w:r>
      <w:r w:rsidR="003D7B8C" w:rsidRPr="000844E1">
        <w:rPr>
          <w:rFonts w:ascii="Times New Roman" w:hAnsi="Times New Roman" w:cs="Times New Roman"/>
          <w:color w:val="000000"/>
          <w:sz w:val="26"/>
          <w:szCs w:val="26"/>
        </w:rPr>
        <w:t xml:space="preserve"> ценах). </w:t>
      </w:r>
    </w:p>
    <w:p w:rsidR="00A9618B" w:rsidRPr="000844E1" w:rsidRDefault="00A9618B" w:rsidP="00CB266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02716" w:rsidRPr="000844E1" w:rsidRDefault="00102716" w:rsidP="00102716">
      <w:pPr>
        <w:pStyle w:val="1"/>
        <w:jc w:val="center"/>
        <w:rPr>
          <w:rFonts w:cs="Times New Roman"/>
        </w:rPr>
      </w:pPr>
      <w:bookmarkStart w:id="13" w:name="_Toc57976370"/>
      <w:r w:rsidRPr="000844E1">
        <w:rPr>
          <w:rFonts w:cs="Times New Roman"/>
        </w:rPr>
        <w:t>8. Оценка эффективности использования средств</w:t>
      </w:r>
      <w:bookmarkEnd w:id="13"/>
    </w:p>
    <w:p w:rsidR="00102716" w:rsidRPr="000844E1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использования средств, направляемых на реализацию энергосберегающих мероприятий, проводится на основании простого срока окупаемости энергосберегающего мероприятия. </w:t>
      </w:r>
    </w:p>
    <w:p w:rsidR="00102716" w:rsidRPr="000844E1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Расчет простого срока окупаемости энергосберегающего мероприятия проводится для предварительной оценки экономической эффективности энергосберегающего мероприятия на стадии составления технико-экономического обоснования данного мероприятия и осуществляется по следующей формуле: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61237" cy="60289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06" cy="60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proofErr w:type="spell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Тп</w:t>
      </w:r>
      <w:proofErr w:type="spell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простой срок окупаемости энергосберегающего мероприятия (лет);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 вложения (инвестиции) в реализацию энергосберегающего мероприятия (из всех источников финансирования) (тыс. рублей);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</w:t>
      </w:r>
      <w:r w:rsidR="00C34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</w:t>
      </w:r>
      <w:proofErr w:type="gram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 годовая экономия, получаемая от реализации энергосберегающего мероприятия (млн. рублей). </w:t>
      </w:r>
    </w:p>
    <w:p w:rsidR="00102716" w:rsidRPr="000844E1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Годовая экономия, получаемая от реализации энергосберегающего мероприятия, рассчитывается по следующей формуле: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8533" cy="28707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35" cy="2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16" w:rsidRPr="000844E1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</w:t>
      </w:r>
      <w:r w:rsidR="00C34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</w:t>
      </w:r>
      <w:proofErr w:type="gram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 годовая экономия, получаемая от реализации энергосберегающего мероприятия (млн. рублей);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стоимость единицы объема энергетических ресурсов, потребленных до внедрения энергосберегающего мероприятия;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объем энергетических ресурсов, потребленных до внедрения энергосберегающего мероприятия;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стоимость единицы объема энергетических ресурсов, потребленных после внедрения энергосберегающего мероприятия.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Start"/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объем энергетических ресурсов, потребленных после внедрения энергосберегающего мероприятия.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Вложения (инвестиции) в реализацию энергосберегающего мероприятия включают в себя расходы по разработке бизнес-плана или технико-экономического обоснования данного мероприятия, стоимость проектно-изыскательских работ (при наличии потребности), основного и вспомогательного оборудования, строительно-монтажных и пусконаладочных работ.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Чем меньше простой срок окупаемости энергосберегающего мероприятия, тем больше экономическая целесообразность реализации данного мероприятия.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Энергосберегающие мероприятия, простой срок окупаемости, которых превышает 3 года, относятся к категории низкоэффективных, кроме мероприятий, связанных с внедрением возобновляемых источников энергии, для которых срок окупаемости не должен превышать 7 лет.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выбора энергосберегающего мероприятия из нескольких более эффективным является энергосберегающее мероприятие с меньшим сроком окупаемости. </w:t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261-ФЗ от 23.11.2009 г «Об энергосбережении и о повышении энергетической эффективности и о внесенииизменений в отдельные законодательные акты Российской Федерации» потенциал энергосбережения определяется в ходе обследования отдельно по каждой системе энергоснабжения на основании результатов балансовых расчетов. </w:t>
      </w:r>
    </w:p>
    <w:p w:rsidR="00102716" w:rsidRPr="00102716" w:rsidRDefault="00D02978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оценки эффективности приведенных инвестиций используют ряд показателей: </w:t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чистый дисконтированный доход (интегральный эффект) – сумма текущих эффектов за весь расчетный период, приведенная к начальному шагу (базисному году); </w:t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-индекс доходности, который является следствием расчета чистого дисконтированного дохода и представляет собой отношение суммарных приведенных доходов (эффектов) к величине инвестиций; </w:t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внутренняя норма доходности – это такое значение нормы доходности (нормы дисконта), при котором приведенные эффекты равны приведенным инвестициям; иначе говоря, интегральный эффект проекта становится равен нулю; </w:t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срока окупаемости с учетом дисконтирования – позволяет более точно определить срок окупаемости; его величина больше, чем обычный срок окупаемости. </w:t>
      </w:r>
    </w:p>
    <w:p w:rsidR="00102716" w:rsidRPr="00102716" w:rsidRDefault="00D02978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Чистая текущая стоимость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. Этот критерий основан на сопоставлении величины исходных инвестиций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С)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с общей суммой дисконтированных чистых денежных поступлений, генерируемых проектом в течение прогнозируемого срока - n. Поскольку приток денежных средств распределен во времени, он дисконтируется с помощью коэффициента q. </w:t>
      </w:r>
    </w:p>
    <w:p w:rsidR="00102716" w:rsidRPr="000844E1" w:rsidRDefault="00D02978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Если исходные инвестиции (</w:t>
      </w:r>
      <w:proofErr w:type="gram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) будут генерировать в течение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лет, годовые доходы (денежные потоки) в размере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CF1, CF2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, ... , </w:t>
      </w:r>
      <w:proofErr w:type="spell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CFn</w:t>
      </w:r>
      <w:proofErr w:type="spellEnd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то чистая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текущая стоимость (</w:t>
      </w:r>
      <w:proofErr w:type="spellStart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NetPresentValue</w:t>
      </w:r>
      <w:proofErr w:type="spellEnd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, NPV) соответственно будет рассчитываться по формуле: </w:t>
      </w:r>
    </w:p>
    <w:p w:rsidR="00D02978" w:rsidRPr="00102716" w:rsidRDefault="00D02978" w:rsidP="00D02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0817" cy="4997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53" cy="49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NPV 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– чистая текущая стоимость;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CF 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– денежный поток; r– ставка дисконтирования;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– период;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IC 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– первоначальные инвестиции. </w:t>
      </w:r>
    </w:p>
    <w:p w:rsidR="00102716" w:rsidRPr="00102716" w:rsidRDefault="00D02978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Очевидно, что если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NPV &gt;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то проект целесообразно принять; если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NPV &lt;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то проект целесообразно отвергнуть; при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NPV =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0 проект не является ни прибыльным, ни убыточным. </w:t>
      </w:r>
    </w:p>
    <w:p w:rsidR="00102716" w:rsidRPr="00102716" w:rsidRDefault="00D02978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чистой текущей стоимости значение экономического эффекта во многом определяется выбранным для расчета нормативом (коэффициентом) дисконтирования - показателя, используемого для приведения по фактору времени ожидаемых денежных поступлений и платежей. Ориентиром примем ставку рефинансирования Центрального банка, определяющая нижнюю границу платы за кредит. </w:t>
      </w:r>
    </w:p>
    <w:p w:rsidR="00102716" w:rsidRPr="00102716" w:rsidRDefault="00D02978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Индекс рентабельности (доходности) инвестиций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. Этот критерий является вариантом предыдущего. Индекс рентабельности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</w:t>
      </w:r>
      <w:proofErr w:type="gram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формуле: </w:t>
      </w:r>
    </w:p>
    <w:p w:rsidR="00D02978" w:rsidRPr="000844E1" w:rsidRDefault="00D02978" w:rsidP="00D02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1438" cy="4253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17" cy="4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>где: PI – индекс доходности; CF – денежный поток; IC – первоначальные инвестиции</w:t>
      </w:r>
      <w:proofErr w:type="gramStart"/>
      <w:r w:rsidRPr="00102716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чевидно, что если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РI&gt;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1, то проект целесообразно принять; если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РI &lt;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1, то проект следует отвергнуть; при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РI 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= 1 проект не является ни прибыльным, ни убыточным. </w:t>
      </w:r>
    </w:p>
    <w:p w:rsidR="00102716" w:rsidRPr="00102716" w:rsidRDefault="00D02978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4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 внутренней нормой доходности инвестиций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(обозначается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IRR –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InternalRateofReturn</w:t>
      </w:r>
      <w:proofErr w:type="spellEnd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синонимы: внутренняя норма прибыли, внутренняя норма окупаемости) понимают значение коэффициента дисконтирования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, при котором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NPV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проекта равна нулю: </w:t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IRR = r, 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при котором </w:t>
      </w:r>
      <w:r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NPV(r) = 0</w:t>
      </w: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Иными словами, если обозначить </w:t>
      </w:r>
      <w:proofErr w:type="gram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proofErr w:type="gramEnd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CF0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CFk</w:t>
      </w:r>
      <w:proofErr w:type="spellEnd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– элемент финансового потока проекта, соответствующий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 моменту времени, то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IRR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из уравнения: </w:t>
      </w:r>
    </w:p>
    <w:p w:rsidR="00102716" w:rsidRPr="00102716" w:rsidRDefault="00102716" w:rsidP="00D02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𝐶𝐹𝑘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(1+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𝐼𝑅𝑅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𝑘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=0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𝑛𝑘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=0 ,</w:t>
      </w: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IRR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показывает верхнюю границу зоны ожидаемой доходности проекта, и, следовательно, максимально допустимый относительный уровень расходов. Например, если проект полностью финансируется за счёт ссуды коммерческого банка, то значение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IRR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показывает верхнюю границу допустимого уровня банковской процентной ставки, превышение которого делает проект убыточным. </w:t>
      </w:r>
    </w:p>
    <w:p w:rsidR="00102716" w:rsidRPr="00102716" w:rsidRDefault="000844E1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организации выгодно принимать любые решения инвестиционного характера, внутренние </w:t>
      </w:r>
      <w:proofErr w:type="gramStart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proofErr w:type="gramEnd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 доходности которых не больше текущего значения показателя "цена капитала".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Рассчитать показатель внутренней нормы доходности IRR можно, используя сложный математический подсчёт в виде: </w:t>
      </w:r>
    </w:p>
    <w:p w:rsidR="00102716" w:rsidRPr="00102716" w:rsidRDefault="00102716" w:rsidP="009A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lastRenderedPageBreak/>
        <w:t>0=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𝑁𝐶𝐹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0+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𝑁𝐶𝐹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1(1+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𝑟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)1+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𝑁𝐶𝐹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2(1+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𝑟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)2+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⋯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𝑁𝐶𝐹𝑛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(1+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𝑟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𝑛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=Σ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𝑁𝐶𝐹𝑘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(1+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𝑟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𝑘𝑛𝑘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=0 ,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NCF– чистый денежный поток соответствующего периода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r – ставка дисконтирования (в десятичном выражении)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n – горизонт исследования, выраженный в интервалах планирования (срок проекта)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k – период проекта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либо в электронной таблице </w:t>
      </w:r>
      <w:proofErr w:type="spellStart"/>
      <w:r w:rsidRPr="00102716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специально предназначенную функцию (=ВС</w:t>
      </w:r>
      <w:proofErr w:type="gramStart"/>
      <w:r w:rsidRPr="00102716">
        <w:rPr>
          <w:rFonts w:ascii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поток; предполагаемая ставка %)) </w:t>
      </w: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IRR &lt;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"цена капитала"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то проект целесообразно принять; если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IRR &gt;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"цена капитала"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то проект следует отвергнуть; при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IRR =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"цена капитала" проект не является ни прибыльным, ни убыточным. </w:t>
      </w: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 w:rsidR="00102716" w:rsidRPr="0010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окупаемости инвестиций -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период (измеряемый в месяцах, кварталах, годах),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 </w:t>
      </w:r>
      <w:proofErr w:type="gramEnd"/>
    </w:p>
    <w:p w:rsidR="00102716" w:rsidRPr="00102716" w:rsidRDefault="00840D15" w:rsidP="0084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Общая формула расчета показателя </w:t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РР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имеет вид: </w:t>
      </w:r>
    </w:p>
    <w:p w:rsidR="00102716" w:rsidRPr="00102716" w:rsidRDefault="00840D15" w:rsidP="0084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РР = </w:t>
      </w:r>
      <w:proofErr w:type="spell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min</w:t>
      </w:r>
      <w:proofErr w:type="spellEnd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n, 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при котором</w:t>
      </w:r>
    </w:p>
    <w:p w:rsidR="00840D15" w:rsidRDefault="00102716" w:rsidP="0084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716"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𝑃𝑘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≥</w:t>
      </w:r>
      <w:r w:rsidRPr="00102716">
        <w:rPr>
          <w:rFonts w:ascii="Cambria Math" w:hAnsi="Cambria Math" w:cs="Cambria Math"/>
          <w:color w:val="000000"/>
          <w:sz w:val="28"/>
          <w:szCs w:val="28"/>
        </w:rPr>
        <w:t>𝐼𝐶𝑛𝑖</w:t>
      </w:r>
      <w:r w:rsidRPr="00102716">
        <w:rPr>
          <w:rFonts w:ascii="Times New Roman" w:hAnsi="Times New Roman" w:cs="Times New Roman"/>
          <w:color w:val="000000"/>
          <w:sz w:val="28"/>
          <w:szCs w:val="28"/>
        </w:rPr>
        <w:t>=0 ,</w:t>
      </w:r>
    </w:p>
    <w:p w:rsidR="00102716" w:rsidRPr="00102716" w:rsidRDefault="00840D15" w:rsidP="0084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proofErr w:type="spellStart"/>
      <w:r w:rsidR="00102716" w:rsidRPr="0010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Pk</w:t>
      </w:r>
      <w:proofErr w:type="spellEnd"/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>– денежные потоки</w:t>
      </w:r>
    </w:p>
    <w:p w:rsidR="00102716" w:rsidRPr="00102716" w:rsidRDefault="00840D15" w:rsidP="0084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ниже результаты расчетов экономии получены на основании реализации экономически эффективных энергосберегающих проектов. Стоимость изыскательных работ, проектирования, оборудования, монтажа,обслуживания приведены в ценах для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Мышкин на 2020</w:t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Энергетическое обследование дает возможность выделить наиболее значимые потери энергетических ресурсов на предприятии. Предлагаемые мероприятия позволят снизить потребление и затраты на энергоносители.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выделенных мероприятий зависит от сезонности выполнения отдельных видов работ, а также от сезонности использования отдельных энергетических систем. </w:t>
      </w: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ряд общих рекомендаций по энергосбережению, относящихся к отдельным системам энергосбережения. </w:t>
      </w: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color w:val="000000"/>
          <w:sz w:val="28"/>
          <w:szCs w:val="28"/>
        </w:rPr>
        <w:t xml:space="preserve">К общим рекомендациям относятся: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 в учреждениях ответственных за контролем расходов энергоносителей и проведения мероприятий по энергосбережению;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работников основам энергосбережения и повышения энергетической эффективности;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организационной структуры управления энергосбережением и повышением энергетической эффективности;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порядка работы организации и оптимизация работы систем освещения, вентиляции, водоснабжения;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правил эксплуатации и обслуживания систем </w:t>
      </w:r>
      <w:proofErr w:type="spellStart"/>
      <w:r w:rsidRPr="00840D15">
        <w:rPr>
          <w:rFonts w:ascii="Times New Roman" w:hAnsi="Times New Roman" w:cs="Times New Roman"/>
          <w:color w:val="000000"/>
          <w:sz w:val="28"/>
          <w:szCs w:val="28"/>
        </w:rPr>
        <w:t>энергоиспользования</w:t>
      </w:r>
      <w:proofErr w:type="spellEnd"/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и отдельных энергоустановок, введение графиков </w:t>
      </w:r>
      <w:r w:rsidRPr="00840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включения и отключения систем освещения, вентиляции, тепловых завес и т.д.;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 по эксплуатации светильников, их чистке, своевременному ремонту оконных рам, оклейка окон, ремонт санузлов и т. п.;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ведение разъяснительной работы с сотрудниками по вопросам энергосбережения; </w:t>
      </w:r>
    </w:p>
    <w:p w:rsidR="00102716" w:rsidRPr="00840D15" w:rsidRDefault="00102716" w:rsidP="00840D1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1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периодических энергетических обследований, составление и корректировка энергетических паспортов. </w:t>
      </w:r>
    </w:p>
    <w:p w:rsidR="00102716" w:rsidRPr="00102716" w:rsidRDefault="00102716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16" w:rsidRPr="00102716" w:rsidRDefault="00840D15" w:rsidP="0010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102716" w:rsidRPr="0010271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Приведенные расчеты являются оценочными. Более точные результаты можно получить только на стадии технико-экономического обоснования или на стадии разработки рабочего проекта и сметы. </w:t>
      </w:r>
    </w:p>
    <w:p w:rsidR="00A9618B" w:rsidRPr="00840D15" w:rsidRDefault="00840D15" w:rsidP="00102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102716" w:rsidRPr="00840D1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Капитальные затраты на реализацию мероприятий указаны ориентировочно. Более точно величину затрат можно определить только на основе коммерческого предложения подрядной организации.</w:t>
      </w:r>
    </w:p>
    <w:sectPr w:rsidR="00A9618B" w:rsidRPr="00840D15" w:rsidSect="0065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A4882"/>
    <w:multiLevelType w:val="hybridMultilevel"/>
    <w:tmpl w:val="CA8EDF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E1A14"/>
    <w:multiLevelType w:val="hybridMultilevel"/>
    <w:tmpl w:val="66EE1C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FC45B2"/>
    <w:multiLevelType w:val="multilevel"/>
    <w:tmpl w:val="DF5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376FE"/>
    <w:multiLevelType w:val="hybridMultilevel"/>
    <w:tmpl w:val="6326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6827"/>
    <w:multiLevelType w:val="hybridMultilevel"/>
    <w:tmpl w:val="3260049C"/>
    <w:lvl w:ilvl="0" w:tplc="58AC15D8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F53DE"/>
    <w:multiLevelType w:val="hybridMultilevel"/>
    <w:tmpl w:val="556A37E4"/>
    <w:lvl w:ilvl="0" w:tplc="429E3A4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71C02"/>
    <w:multiLevelType w:val="hybridMultilevel"/>
    <w:tmpl w:val="4EC8D036"/>
    <w:lvl w:ilvl="0" w:tplc="58AC15D8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73632A0"/>
    <w:multiLevelType w:val="hybridMultilevel"/>
    <w:tmpl w:val="C514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01399"/>
    <w:multiLevelType w:val="hybridMultilevel"/>
    <w:tmpl w:val="8B66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C2FE3"/>
    <w:multiLevelType w:val="hybridMultilevel"/>
    <w:tmpl w:val="3FC6E522"/>
    <w:lvl w:ilvl="0" w:tplc="429E3A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84103"/>
    <w:multiLevelType w:val="hybridMultilevel"/>
    <w:tmpl w:val="4E02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642E0"/>
    <w:multiLevelType w:val="multilevel"/>
    <w:tmpl w:val="BB1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415EC"/>
    <w:multiLevelType w:val="hybridMultilevel"/>
    <w:tmpl w:val="8A3A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7117B"/>
    <w:multiLevelType w:val="multilevel"/>
    <w:tmpl w:val="7A24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12949"/>
    <w:multiLevelType w:val="hybridMultilevel"/>
    <w:tmpl w:val="1F3E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13D5"/>
    <w:multiLevelType w:val="hybridMultilevel"/>
    <w:tmpl w:val="E81A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06376"/>
    <w:multiLevelType w:val="hybridMultilevel"/>
    <w:tmpl w:val="F9B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C7C7D"/>
    <w:multiLevelType w:val="hybridMultilevel"/>
    <w:tmpl w:val="510E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6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4"/>
  </w:num>
  <w:num w:numId="10">
    <w:abstractNumId w:val="8"/>
  </w:num>
  <w:num w:numId="11">
    <w:abstractNumId w:val="0"/>
  </w:num>
  <w:num w:numId="12">
    <w:abstractNumId w:val="17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0AE"/>
    <w:rsid w:val="00002C7D"/>
    <w:rsid w:val="00075F09"/>
    <w:rsid w:val="000844E1"/>
    <w:rsid w:val="0009021A"/>
    <w:rsid w:val="00094082"/>
    <w:rsid w:val="000C1FF4"/>
    <w:rsid w:val="00102716"/>
    <w:rsid w:val="00117951"/>
    <w:rsid w:val="00126FA2"/>
    <w:rsid w:val="001372B7"/>
    <w:rsid w:val="00153E34"/>
    <w:rsid w:val="001D7D02"/>
    <w:rsid w:val="001E6EF2"/>
    <w:rsid w:val="001F3385"/>
    <w:rsid w:val="00230EAB"/>
    <w:rsid w:val="002919A2"/>
    <w:rsid w:val="002E28AA"/>
    <w:rsid w:val="0031239C"/>
    <w:rsid w:val="00364A5E"/>
    <w:rsid w:val="00390C2C"/>
    <w:rsid w:val="003C1A3B"/>
    <w:rsid w:val="003D7B8C"/>
    <w:rsid w:val="004108C3"/>
    <w:rsid w:val="00420B45"/>
    <w:rsid w:val="00433535"/>
    <w:rsid w:val="004516FB"/>
    <w:rsid w:val="00453D2F"/>
    <w:rsid w:val="004612AB"/>
    <w:rsid w:val="004B7FA8"/>
    <w:rsid w:val="004E7B22"/>
    <w:rsid w:val="005102F5"/>
    <w:rsid w:val="005424FF"/>
    <w:rsid w:val="00590BB0"/>
    <w:rsid w:val="005B6438"/>
    <w:rsid w:val="005C789C"/>
    <w:rsid w:val="005E2F7E"/>
    <w:rsid w:val="005E7903"/>
    <w:rsid w:val="0061443D"/>
    <w:rsid w:val="00626900"/>
    <w:rsid w:val="0065739C"/>
    <w:rsid w:val="00660353"/>
    <w:rsid w:val="00691528"/>
    <w:rsid w:val="006B4F04"/>
    <w:rsid w:val="006E5760"/>
    <w:rsid w:val="006E7886"/>
    <w:rsid w:val="007042A7"/>
    <w:rsid w:val="00752C29"/>
    <w:rsid w:val="007B397F"/>
    <w:rsid w:val="007C0098"/>
    <w:rsid w:val="007C68BA"/>
    <w:rsid w:val="007E3540"/>
    <w:rsid w:val="00807D17"/>
    <w:rsid w:val="00816327"/>
    <w:rsid w:val="00820427"/>
    <w:rsid w:val="008263B9"/>
    <w:rsid w:val="00840D15"/>
    <w:rsid w:val="0086326E"/>
    <w:rsid w:val="008A6480"/>
    <w:rsid w:val="0090574E"/>
    <w:rsid w:val="009132D6"/>
    <w:rsid w:val="0092566F"/>
    <w:rsid w:val="00930CEE"/>
    <w:rsid w:val="00970687"/>
    <w:rsid w:val="00981CA5"/>
    <w:rsid w:val="009A0C08"/>
    <w:rsid w:val="009D0557"/>
    <w:rsid w:val="009E3B31"/>
    <w:rsid w:val="00A00102"/>
    <w:rsid w:val="00A40DAD"/>
    <w:rsid w:val="00A4164C"/>
    <w:rsid w:val="00A56E7A"/>
    <w:rsid w:val="00A73AC6"/>
    <w:rsid w:val="00A9618B"/>
    <w:rsid w:val="00AC2517"/>
    <w:rsid w:val="00AC53EA"/>
    <w:rsid w:val="00AE101F"/>
    <w:rsid w:val="00AE5310"/>
    <w:rsid w:val="00B027C4"/>
    <w:rsid w:val="00B261B2"/>
    <w:rsid w:val="00B56FA7"/>
    <w:rsid w:val="00B63501"/>
    <w:rsid w:val="00BA48FA"/>
    <w:rsid w:val="00BD111A"/>
    <w:rsid w:val="00BD7D90"/>
    <w:rsid w:val="00C03585"/>
    <w:rsid w:val="00C12ECC"/>
    <w:rsid w:val="00C34B0D"/>
    <w:rsid w:val="00C67E5D"/>
    <w:rsid w:val="00C80E23"/>
    <w:rsid w:val="00CB2665"/>
    <w:rsid w:val="00CC690E"/>
    <w:rsid w:val="00CF0F84"/>
    <w:rsid w:val="00CF26B1"/>
    <w:rsid w:val="00CF3B74"/>
    <w:rsid w:val="00D02978"/>
    <w:rsid w:val="00D157E0"/>
    <w:rsid w:val="00D3036E"/>
    <w:rsid w:val="00D434F2"/>
    <w:rsid w:val="00D86E40"/>
    <w:rsid w:val="00DC7F05"/>
    <w:rsid w:val="00E17258"/>
    <w:rsid w:val="00E17C3C"/>
    <w:rsid w:val="00E45C15"/>
    <w:rsid w:val="00E90109"/>
    <w:rsid w:val="00EC4A65"/>
    <w:rsid w:val="00F15D2D"/>
    <w:rsid w:val="00F351DF"/>
    <w:rsid w:val="00F440AE"/>
    <w:rsid w:val="00F5196C"/>
    <w:rsid w:val="00F5431E"/>
    <w:rsid w:val="00FB1713"/>
    <w:rsid w:val="00FC004C"/>
    <w:rsid w:val="00FC1E5C"/>
    <w:rsid w:val="00FD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9C"/>
  </w:style>
  <w:style w:type="paragraph" w:styleId="1">
    <w:name w:val="heading 1"/>
    <w:basedOn w:val="a"/>
    <w:next w:val="a"/>
    <w:link w:val="10"/>
    <w:uiPriority w:val="9"/>
    <w:qFormat/>
    <w:rsid w:val="0031239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39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F05"/>
    <w:pPr>
      <w:ind w:left="720"/>
      <w:contextualSpacing/>
    </w:pPr>
  </w:style>
  <w:style w:type="paragraph" w:customStyle="1" w:styleId="Default">
    <w:name w:val="Default"/>
    <w:rsid w:val="00312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239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239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8A6480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648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6480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8A64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39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39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F05"/>
    <w:pPr>
      <w:ind w:left="720"/>
      <w:contextualSpacing/>
    </w:pPr>
  </w:style>
  <w:style w:type="paragraph" w:customStyle="1" w:styleId="Default">
    <w:name w:val="Default"/>
    <w:rsid w:val="00312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239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239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8A6480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648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6480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8A64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1BD2-7DF7-44DE-8A72-C5A2F28E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ddtmy</dc:creator>
  <cp:keywords/>
  <dc:description/>
  <cp:lastModifiedBy>User</cp:lastModifiedBy>
  <cp:revision>60</cp:revision>
  <cp:lastPrinted>2023-11-08T08:38:00Z</cp:lastPrinted>
  <dcterms:created xsi:type="dcterms:W3CDTF">2020-11-12T11:18:00Z</dcterms:created>
  <dcterms:modified xsi:type="dcterms:W3CDTF">2023-11-08T08:38:00Z</dcterms:modified>
</cp:coreProperties>
</file>